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C21F3">
      <w:pPr>
        <w:spacing w:line="360" w:lineRule="auto"/>
        <w:jc w:val="center"/>
        <w:rPr>
          <w:rFonts w:hint="eastAsia" w:ascii="小标宋" w:hAnsi="小标宋" w:eastAsia="小标宋" w:cs="小标宋"/>
          <w:bCs/>
          <w:color w:val="000000" w:themeColor="text1"/>
          <w:kern w:val="0"/>
          <w:sz w:val="32"/>
          <w:szCs w:val="32"/>
          <w:lang w:val="en-US" w:eastAsia="zh-CN"/>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北航校医院耳鼻喉综合治疗台采购</w:t>
      </w:r>
      <w:r>
        <w:rPr>
          <w:rFonts w:hint="eastAsia" w:ascii="小标宋" w:hAnsi="小标宋" w:eastAsia="小标宋" w:cs="小标宋"/>
          <w:bCs/>
          <w:color w:val="000000" w:themeColor="text1"/>
          <w:kern w:val="0"/>
          <w:sz w:val="32"/>
          <w:szCs w:val="32"/>
          <w:lang w:val="en-US" w:eastAsia="zh-CN"/>
          <w14:textFill>
            <w14:solidFill>
              <w14:schemeClr w14:val="tx1"/>
            </w14:solidFill>
          </w14:textFill>
        </w:rPr>
        <w:t>项目</w:t>
      </w:r>
    </w:p>
    <w:p w14:paraId="454138AE">
      <w:pPr>
        <w:spacing w:line="360" w:lineRule="auto"/>
        <w:jc w:val="center"/>
        <w:rPr>
          <w:rFonts w:ascii="小标宋" w:hAnsi="小标宋" w:eastAsia="小标宋" w:cs="小标宋"/>
          <w:bCs/>
          <w:color w:val="000000" w:themeColor="text1"/>
          <w:kern w:val="0"/>
          <w:sz w:val="32"/>
          <w:szCs w:val="32"/>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竞价采购需求文件</w:t>
      </w:r>
    </w:p>
    <w:p w14:paraId="77F55AAC">
      <w:pPr>
        <w:snapToGrid w:val="0"/>
        <w:spacing w:line="520" w:lineRule="exact"/>
        <w:ind w:firstLine="480" w:firstLineChars="200"/>
        <w:rPr>
          <w:rFonts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耳鼻喉综合治疗台采购项目</w:t>
      </w:r>
      <w:r>
        <w:rPr>
          <w:rFonts w:hint="eastAsia" w:ascii="仿宋_GB2312" w:hAnsi="仿宋_GB2312" w:eastAsia="仿宋_GB2312" w:cs="仿宋_GB2312"/>
          <w:sz w:val="24"/>
        </w:rPr>
        <w:t>（以下简称“本项目”）已具备采购条件，现邀请有意向且符合条件的供应商参与本项目采购。</w:t>
      </w:r>
    </w:p>
    <w:p w14:paraId="7396DD1B">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5"/>
        <w:tblW w:w="6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1"/>
        <w:gridCol w:w="6497"/>
      </w:tblGrid>
      <w:tr w14:paraId="3DE3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2B4EF72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4C7E9EA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北航校医院</w:t>
            </w:r>
            <w:r>
              <w:rPr>
                <w:rFonts w:hint="eastAsia" w:ascii="仿宋_GB2312" w:hAnsi="仿宋_GB2312" w:eastAsia="仿宋_GB2312" w:cs="仿宋_GB2312"/>
                <w:sz w:val="24"/>
              </w:rPr>
              <w:t>耳鼻喉综合治疗台采购</w:t>
            </w:r>
          </w:p>
        </w:tc>
      </w:tr>
      <w:tr w14:paraId="39E6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37FCDF7B">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6792DC3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车老师，82331</w:t>
            </w:r>
            <w:r>
              <w:rPr>
                <w:rFonts w:ascii="仿宋_GB2312" w:hAnsi="仿宋_GB2312" w:eastAsia="仿宋_GB2312" w:cs="仿宋_GB2312"/>
                <w:sz w:val="24"/>
              </w:rPr>
              <w:t>083</w:t>
            </w:r>
          </w:p>
        </w:tc>
      </w:tr>
      <w:tr w14:paraId="11FD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6C17C43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39D831E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1</w:t>
            </w:r>
            <w:r>
              <w:rPr>
                <w:rFonts w:ascii="仿宋_GB2312" w:hAnsi="仿宋_GB2312" w:eastAsia="仿宋_GB2312" w:cs="仿宋_GB2312"/>
                <w:b/>
                <w:bCs/>
                <w:sz w:val="24"/>
              </w:rPr>
              <w:t>5.0</w:t>
            </w:r>
            <w:r>
              <w:rPr>
                <w:rFonts w:hint="eastAsia" w:ascii="仿宋_GB2312" w:hAnsi="仿宋_GB2312" w:eastAsia="仿宋_GB2312" w:cs="仿宋_GB2312"/>
                <w:b/>
                <w:bCs/>
                <w:sz w:val="24"/>
              </w:rPr>
              <w:t>（万元）</w:t>
            </w:r>
          </w:p>
        </w:tc>
      </w:tr>
      <w:tr w14:paraId="21C6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79" w:type="pct"/>
            <w:vAlign w:val="center"/>
          </w:tcPr>
          <w:p w14:paraId="31009FA7">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6B7866A9">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sdtPr>
              <w:sdtEndPr>
                <w:rPr>
                  <w:rFonts w:hint="eastAsia" w:ascii="仿宋_GB2312" w:hAnsi="仿宋_GB2312" w:eastAsia="仿宋_GB2312" w:cs="仿宋_GB2312"/>
                  <w:sz w:val="24"/>
                </w:rPr>
              </w:sdtEndPr>
              <w:sdtContent>
                <w:sdt>
                  <w:sdtPr>
                    <w:rPr>
                      <w:rFonts w:hint="eastAsia" w:ascii="仿宋_GB2312" w:hAnsi="仿宋_GB2312" w:eastAsia="仿宋_GB2312" w:cs="仿宋_GB2312"/>
                      <w:sz w:val="24"/>
                    </w:rPr>
                    <w:id w:val="9451368"/>
                  </w:sdtPr>
                  <w:sdtEndPr>
                    <w:rPr>
                      <w:rFonts w:hint="eastAsia" w:ascii="仿宋_GB2312" w:hAnsi="仿宋_GB2312" w:eastAsia="仿宋_GB2312" w:cs="仿宋_GB2312"/>
                      <w:sz w:val="24"/>
                    </w:rPr>
                  </w:sdtEndPr>
                  <w:sdtContent>
                    <w:r>
                      <w:rPr>
                        <w:rFonts w:hint="eastAsia" w:ascii="仿宋" w:hAnsi="仿宋" w:eastAsia="仿宋" w:cs="仿宋_GB2312"/>
                        <w:sz w:val="24"/>
                      </w:rPr>
                      <w:t>■</w:t>
                    </w:r>
                  </w:sdtContent>
                </w:sdt>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sdtPr>
              <w:sdtEndPr>
                <w:rPr>
                  <w:rFonts w:hint="eastAsia" w:ascii="仿宋_GB2312" w:hAnsi="仿宋_GB2312" w:eastAsia="仿宋_GB2312" w:cs="仿宋_GB2312"/>
                  <w:sz w:val="24"/>
                </w:rPr>
              </w:sdtEndPr>
              <w:sdtContent>
                <w:sdt>
                  <w:sdtPr>
                    <w:rPr>
                      <w:rFonts w:hint="eastAsia" w:ascii="仿宋_GB2312" w:hAnsi="仿宋_GB2312" w:eastAsia="仿宋_GB2312" w:cs="仿宋_GB2312"/>
                      <w:sz w:val="24"/>
                    </w:rPr>
                    <w:id w:val="9451369"/>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r>
              <w:rPr>
                <w:rFonts w:hint="eastAsia" w:ascii="仿宋_GB2312" w:hAnsi="仿宋_GB2312" w:eastAsia="仿宋_GB2312" w:cs="仿宋_GB2312"/>
                <w:sz w:val="24"/>
              </w:rPr>
              <w:t>工程建设</w:t>
            </w:r>
          </w:p>
        </w:tc>
      </w:tr>
      <w:tr w14:paraId="344C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79" w:type="pct"/>
            <w:vAlign w:val="center"/>
          </w:tcPr>
          <w:p w14:paraId="2C0990F8">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207483B5">
            <w:pPr>
              <w:pStyle w:val="5"/>
              <w:keepNext w:val="0"/>
              <w:spacing w:line="520" w:lineRule="exact"/>
              <w:outlineLvl w:val="2"/>
              <w:rPr>
                <w:rFonts w:ascii="仿宋" w:hAnsi="仿宋" w:eastAsia="仿宋"/>
                <w:b w:val="0"/>
                <w:bCs w:val="0"/>
                <w:sz w:val="24"/>
                <w:u w:val="single"/>
              </w:rPr>
            </w:pPr>
            <w:r>
              <w:rPr>
                <w:rFonts w:hint="eastAsia" w:ascii="仿宋_GB2312" w:hAnsi="仿宋_GB2312" w:eastAsia="仿宋_GB2312" w:cs="仿宋_GB2312"/>
                <w:b w:val="0"/>
                <w:bCs w:val="0"/>
                <w:sz w:val="24"/>
              </w:rPr>
              <w:t>校医院门诊部学院路校区耳鼻喉门诊目前在用耳鼻喉综合治疗台使用时长已达1</w:t>
            </w:r>
            <w:r>
              <w:rPr>
                <w:rFonts w:ascii="仿宋_GB2312" w:hAnsi="仿宋_GB2312" w:eastAsia="仿宋_GB2312" w:cs="仿宋_GB2312"/>
                <w:b w:val="0"/>
                <w:bCs w:val="0"/>
                <w:sz w:val="24"/>
              </w:rPr>
              <w:t>4</w:t>
            </w:r>
            <w:r>
              <w:rPr>
                <w:rFonts w:hint="eastAsia" w:ascii="仿宋_GB2312" w:hAnsi="仿宋_GB2312" w:eastAsia="仿宋_GB2312" w:cs="仿宋_GB2312"/>
                <w:b w:val="0"/>
                <w:bCs w:val="0"/>
                <w:sz w:val="24"/>
              </w:rPr>
              <w:t>年以上，设备老旧，故障频发，数次造成诊疗过程中断或耳鼻喉门诊停诊，影响服务质量。为做好门诊服务工作，申请采购耳鼻喉科综合治疗台1台。</w:t>
            </w:r>
          </w:p>
        </w:tc>
      </w:tr>
    </w:tbl>
    <w:p w14:paraId="625FA658">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78694A24">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6990CDAB">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2B16ABD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74D840E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6BBEEF0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42DE661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5C8AD7F6">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76D78B43">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0E01518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37433BE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7E766FC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3765B0F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1AFA9867">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58E78F46">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3387FC52">
      <w:pPr>
        <w:snapToGrid w:val="0"/>
        <w:spacing w:line="520" w:lineRule="exact"/>
        <w:ind w:firstLine="480" w:firstLineChars="200"/>
        <w:rPr>
          <w:sz w:val="20"/>
          <w:szCs w:val="22"/>
        </w:rPr>
      </w:pPr>
      <w:r>
        <w:rPr>
          <w:rFonts w:hint="eastAsia" w:ascii="仿宋_GB2312" w:hAnsi="仿宋_GB2312" w:eastAsia="仿宋_GB2312" w:cs="仿宋_GB2312"/>
          <w:sz w:val="24"/>
        </w:rPr>
        <w:sym w:font="Wingdings 2" w:char="0052"/>
      </w:r>
      <w:r>
        <w:rPr>
          <w:rFonts w:hint="eastAsia" w:ascii="仿宋_GB2312" w:hAnsi="仿宋_GB2312" w:eastAsia="仿宋_GB2312" w:cs="仿宋_GB2312"/>
          <w:sz w:val="24"/>
        </w:rPr>
        <w:t>最低价：满足技术指标和商务指标实质性需求前提下，单价最低价成交。</w:t>
      </w:r>
    </w:p>
    <w:p w14:paraId="50C94239">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538A5A07">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0B820FE1">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w:t>
      </w:r>
      <w:r>
        <w:rPr>
          <w:rFonts w:ascii="仿宋_GB2312" w:hAnsi="仿宋_GB2312" w:eastAsia="仿宋_GB2312" w:cs="仿宋_GB2312"/>
          <w:kern w:val="2"/>
        </w:rPr>
        <w:t>095574@buaa.edu.cn</w:t>
      </w:r>
      <w:r>
        <w:rPr>
          <w:rFonts w:hint="eastAsia" w:ascii="仿宋_GB2312" w:hAnsi="仿宋_GB2312" w:eastAsia="仿宋_GB2312" w:cs="仿宋_GB2312"/>
          <w:kern w:val="2"/>
        </w:rPr>
        <w:t>（联系电话：82331</w:t>
      </w:r>
      <w:r>
        <w:rPr>
          <w:rFonts w:ascii="仿宋_GB2312" w:hAnsi="仿宋_GB2312" w:eastAsia="仿宋_GB2312" w:cs="仿宋_GB2312"/>
          <w:kern w:val="2"/>
        </w:rPr>
        <w:t>083</w:t>
      </w:r>
      <w:r>
        <w:rPr>
          <w:rFonts w:hint="eastAsia" w:ascii="仿宋_GB2312" w:hAnsi="仿宋_GB2312" w:eastAsia="仿宋_GB2312" w:cs="仿宋_GB2312"/>
          <w:kern w:val="2"/>
        </w:rPr>
        <w:t xml:space="preserve"> ，联系人：车老师）</w:t>
      </w:r>
    </w:p>
    <w:p w14:paraId="0A0EE21D">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邮件标题：公司名称+采购项目名称；</w:t>
      </w:r>
    </w:p>
    <w:p w14:paraId="0D30391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383E52B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包括但不限于医疗器械经营许可证、医疗器械注册证）扫描件等整理为同一个PDF文件发送，不符合要求者不予接收；</w:t>
      </w:r>
    </w:p>
    <w:p w14:paraId="7F38771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报名截止时间：202</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6年6月25</w:t>
      </w:r>
      <w:bookmarkStart w:id="0" w:name="_GoBack"/>
      <w:bookmarkEnd w:id="0"/>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日16时，逾期递交</w:t>
      </w:r>
      <w:r>
        <w:rPr>
          <w:rFonts w:hint="eastAsia" w:ascii="仿宋_GB2312" w:hAnsi="仿宋_GB2312" w:eastAsia="仿宋_GB2312" w:cs="仿宋_GB2312"/>
          <w:color w:val="000000" w:themeColor="text1"/>
          <w:sz w:val="24"/>
          <w14:textFill>
            <w14:solidFill>
              <w14:schemeClr w14:val="tx1"/>
            </w14:solidFill>
          </w14:textFill>
        </w:rPr>
        <w:t>的报名文件恕不接受。</w:t>
      </w:r>
    </w:p>
    <w:p w14:paraId="1B57DFE0">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3D3EE6C6">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份，副本</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北京海淀区学院路37号北航校医院</w:t>
      </w:r>
      <w:r>
        <w:rPr>
          <w:rFonts w:hint="eastAsia" w:ascii="仿宋_GB2312" w:hAnsi="仿宋_GB2312" w:eastAsia="仿宋_GB2312" w:cs="仿宋_GB2312"/>
          <w:color w:val="000000" w:themeColor="text1"/>
          <w:sz w:val="24"/>
          <w14:textFill>
            <w14:solidFill>
              <w14:schemeClr w14:val="tx1"/>
            </w14:solidFill>
          </w14:textFill>
        </w:rPr>
        <w:t>。响应文件需含设备照片及相关业绩证明等材料。</w:t>
      </w:r>
    </w:p>
    <w:p w14:paraId="264CD0A9">
      <w:pPr>
        <w:snapToGrid w:val="0"/>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6D9F2351">
      <w:pPr>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耳鼻喉综合治疗台是耳鼻喉科门诊日常应用设备，耳鼻喉科所有检查及部分治疗需要借助其开展。校医院门诊部学院路校区耳鼻喉门诊目前在用耳鼻喉科综合治疗台使用时长已达1</w:t>
      </w:r>
      <w:r>
        <w:rPr>
          <w:rFonts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年以上，设备老旧，故障频发，数次造成诊疗过程中断或耳鼻喉门诊停诊，影响服务质量。现采购耳鼻喉科综合治疗台1台，替换陈旧设备，以更好地进行耳鼻喉科门诊服务。</w:t>
      </w:r>
    </w:p>
    <w:p w14:paraId="00287DBA">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四、采购标的汇总表</w:t>
      </w:r>
    </w:p>
    <w:tbl>
      <w:tblPr>
        <w:tblStyle w:val="14"/>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541"/>
        <w:gridCol w:w="1095"/>
        <w:gridCol w:w="1012"/>
        <w:gridCol w:w="1685"/>
        <w:gridCol w:w="1269"/>
      </w:tblGrid>
      <w:tr w14:paraId="278E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94" w:type="pct"/>
            <w:shd w:val="clear" w:color="auto" w:fill="FFFFFF"/>
            <w:tcMar>
              <w:top w:w="0" w:type="dxa"/>
              <w:right w:w="0" w:type="dxa"/>
            </w:tcMar>
            <w:vAlign w:val="center"/>
          </w:tcPr>
          <w:p w14:paraId="412A42F7">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506" w:type="pct"/>
            <w:shd w:val="clear" w:color="auto" w:fill="FFFFFF"/>
            <w:tcMar>
              <w:top w:w="0" w:type="dxa"/>
              <w:right w:w="0" w:type="dxa"/>
            </w:tcMar>
            <w:vAlign w:val="center"/>
          </w:tcPr>
          <w:p w14:paraId="22D60DCE">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649" w:type="pct"/>
            <w:shd w:val="clear" w:color="auto" w:fill="FFFFFF"/>
            <w:vAlign w:val="center"/>
          </w:tcPr>
          <w:p w14:paraId="5DE0D6E8">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600" w:type="pct"/>
            <w:shd w:val="clear" w:color="auto" w:fill="FFFFFF"/>
            <w:tcMar>
              <w:top w:w="0" w:type="dxa"/>
              <w:right w:w="0" w:type="dxa"/>
            </w:tcMar>
            <w:vAlign w:val="center"/>
          </w:tcPr>
          <w:p w14:paraId="65FE93B1">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9" w:type="pct"/>
            <w:shd w:val="clear" w:color="auto" w:fill="FFFFFF"/>
            <w:vAlign w:val="center"/>
          </w:tcPr>
          <w:p w14:paraId="74F26DF4">
            <w:pPr>
              <w:autoSpaceDE w:val="0"/>
              <w:autoSpaceDN w:val="0"/>
              <w:adjustRightInd w:val="0"/>
              <w:jc w:val="center"/>
              <w:rPr>
                <w:rFonts w:ascii="仿宋_GB2312" w:hAnsi="仿宋_GB2312" w:eastAsia="仿宋_GB2312" w:cs="仿宋_GB2312"/>
                <w:sz w:val="24"/>
              </w:rPr>
            </w:pPr>
            <w:r>
              <w:rPr>
                <w:rFonts w:hint="eastAsia" w:ascii="仿宋_GB2312" w:hAnsi="仿宋_GB2312" w:eastAsia="仿宋_GB2312" w:cs="仿宋_GB2312"/>
                <w:sz w:val="24"/>
              </w:rPr>
              <w:t>预算金额</w:t>
            </w:r>
          </w:p>
          <w:p w14:paraId="46212CD6">
            <w:pPr>
              <w:autoSpaceDE w:val="0"/>
              <w:autoSpaceDN w:val="0"/>
              <w:adjustRightInd w:val="0"/>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2" w:type="pct"/>
            <w:shd w:val="clear" w:color="auto" w:fill="FFFFFF"/>
            <w:tcMar>
              <w:top w:w="0" w:type="dxa"/>
              <w:right w:w="0" w:type="dxa"/>
            </w:tcMar>
            <w:vAlign w:val="center"/>
          </w:tcPr>
          <w:p w14:paraId="2E360364">
            <w:pPr>
              <w:autoSpaceDE w:val="0"/>
              <w:autoSpaceDN w:val="0"/>
              <w:adjustRightInd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4C84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pct"/>
            <w:shd w:val="clear" w:color="auto" w:fill="FFFFFF"/>
            <w:tcMar>
              <w:top w:w="0" w:type="dxa"/>
              <w:right w:w="0" w:type="dxa"/>
            </w:tcMar>
            <w:vAlign w:val="center"/>
          </w:tcPr>
          <w:p w14:paraId="0D0CD39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506" w:type="pct"/>
            <w:shd w:val="clear" w:color="auto" w:fill="FFFFFF"/>
            <w:tcMar>
              <w:top w:w="0" w:type="dxa"/>
              <w:right w:w="0" w:type="dxa"/>
            </w:tcMar>
            <w:vAlign w:val="center"/>
          </w:tcPr>
          <w:p w14:paraId="2C3E5F08">
            <w:pPr>
              <w:widowControl/>
              <w:jc w:val="center"/>
              <w:rPr>
                <w:rFonts w:ascii="宋体" w:hAnsi="宋体" w:cs="宋体"/>
                <w:color w:val="000000"/>
                <w:kern w:val="0"/>
                <w:szCs w:val="21"/>
              </w:rPr>
            </w:pPr>
            <w:r>
              <w:rPr>
                <w:rFonts w:hint="eastAsia" w:ascii="宋体" w:hAnsi="宋体" w:cs="宋体"/>
                <w:color w:val="000000"/>
              </w:rPr>
              <w:t>耳鼻喉综合治疗台</w:t>
            </w:r>
          </w:p>
        </w:tc>
        <w:tc>
          <w:tcPr>
            <w:tcW w:w="649" w:type="pct"/>
            <w:shd w:val="clear" w:color="auto" w:fill="FFFFFF"/>
            <w:vAlign w:val="center"/>
          </w:tcPr>
          <w:p w14:paraId="0AF5F5E5">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600" w:type="pct"/>
            <w:shd w:val="clear" w:color="auto" w:fill="FFFFFF"/>
            <w:tcMar>
              <w:top w:w="0" w:type="dxa"/>
              <w:right w:w="0" w:type="dxa"/>
            </w:tcMar>
            <w:vAlign w:val="center"/>
          </w:tcPr>
          <w:p w14:paraId="5A722FED">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999" w:type="pct"/>
            <w:shd w:val="clear" w:color="auto" w:fill="FFFFFF"/>
            <w:vAlign w:val="center"/>
          </w:tcPr>
          <w:p w14:paraId="6A1FC3CA">
            <w:pPr>
              <w:widowControl/>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5</w:t>
            </w:r>
          </w:p>
        </w:tc>
        <w:tc>
          <w:tcPr>
            <w:tcW w:w="752" w:type="pct"/>
            <w:shd w:val="clear" w:color="auto" w:fill="FFFFFF"/>
            <w:tcMar>
              <w:top w:w="0" w:type="dxa"/>
              <w:right w:w="0" w:type="dxa"/>
            </w:tcMar>
            <w:vAlign w:val="center"/>
          </w:tcPr>
          <w:p w14:paraId="0513A23E">
            <w:pPr>
              <w:widowControl/>
              <w:jc w:val="center"/>
              <w:rPr>
                <w:rFonts w:ascii="宋体" w:hAnsi="宋体" w:cs="宋体"/>
                <w:color w:val="000000"/>
                <w:kern w:val="0"/>
                <w:szCs w:val="21"/>
              </w:rPr>
            </w:pPr>
            <w:r>
              <w:rPr>
                <w:rFonts w:hint="eastAsia" w:ascii="宋体" w:hAnsi="宋体" w:cs="宋体"/>
                <w:color w:val="000000"/>
                <w:kern w:val="0"/>
                <w:szCs w:val="21"/>
              </w:rPr>
              <w:t>否</w:t>
            </w:r>
          </w:p>
        </w:tc>
      </w:tr>
    </w:tbl>
    <w:p w14:paraId="172AE602">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2E8557C5">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color w:val="EE0000"/>
          <w:sz w:val="24"/>
        </w:rPr>
        <w:t>★</w:t>
      </w: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2F123311">
      <w:pPr>
        <w:pStyle w:val="2"/>
        <w:spacing w:line="560" w:lineRule="exact"/>
        <w:ind w:left="0" w:leftChars="0" w:firstLine="480"/>
        <w:rPr>
          <w:b/>
          <w:bCs/>
        </w:rPr>
      </w:pPr>
      <w:r>
        <w:rPr>
          <w:rFonts w:hint="eastAsia" w:ascii="仿宋_GB2312" w:hAnsi="仿宋_GB2312" w:eastAsia="仿宋_GB2312" w:cs="仿宋_GB2312"/>
          <w:color w:val="EE0000"/>
          <w:sz w:val="24"/>
        </w:rPr>
        <w:t>★</w:t>
      </w:r>
      <w:r>
        <w:rPr>
          <w:rFonts w:hint="eastAsia" w:ascii="仿宋_GB2312" w:hAnsi="仿宋_GB2312" w:eastAsia="仿宋_GB2312" w:cs="仿宋_GB2312"/>
          <w:b/>
          <w:bCs/>
          <w:color w:val="000000" w:themeColor="text1"/>
          <w:sz w:val="24"/>
          <w14:textFill>
            <w14:solidFill>
              <w14:schemeClr w14:val="tx1"/>
            </w14:solidFill>
          </w14:textFill>
        </w:rPr>
        <w:t>响应文件中应根据汇总表提供采购标的报价单（模板见附件）。</w:t>
      </w:r>
    </w:p>
    <w:p w14:paraId="51AE6410">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p>
    <w:p w14:paraId="6FE5D236">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技术指标和商务要求分为关键指标和一般指标。标“★”代表关键指标，不满足该指标将导致响应被拒绝；无标识则表示一般指标。对于关键指标，</w:t>
      </w:r>
      <w:r>
        <w:rPr>
          <w:rFonts w:hint="eastAsia" w:ascii="仿宋_GB2312" w:hAnsi="仿宋_GB2312" w:eastAsia="仿宋_GB2312" w:cs="仿宋_GB2312"/>
          <w:sz w:val="24"/>
        </w:rPr>
        <w:t>响应人需提供所投产品的第三方检测报告或技术白皮书或技术彩页或官网截图或其他证明文件以证明投标参数符合技术要求，未提供有效证明材料或证明材料中内容与所填报指标不一致的视为不满足。</w:t>
      </w:r>
    </w:p>
    <w:p w14:paraId="660F300C">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（一）技术要求：</w:t>
      </w:r>
    </w:p>
    <w:p w14:paraId="14BFD650">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照明装置：1套，多关节照明灯臂，金属材质，可做任何方向调节；LED冷射照明灯，光线直射，LED灯泡使用寿命＞10000h。</w:t>
      </w:r>
    </w:p>
    <w:p w14:paraId="1E8D72D0">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大理石材质操作台面：1套，操作台与工作台为一体式，规格：≥1800（W）×650（D）×780 ( H ) mm。</w:t>
      </w:r>
    </w:p>
    <w:p w14:paraId="337A4E6F">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机箱：1套，金属材质。</w:t>
      </w:r>
    </w:p>
    <w:p w14:paraId="761FCCFD">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喷药枪：≥</w:t>
      </w:r>
      <w:r>
        <w:rPr>
          <w:rFonts w:ascii="仿宋_GB2312" w:hAnsi="仿宋_GB2312" w:eastAsia="仿宋_GB2312" w:cs="仿宋_GB2312"/>
          <w:sz w:val="24"/>
        </w:rPr>
        <w:t>3</w:t>
      </w:r>
      <w:r>
        <w:rPr>
          <w:rFonts w:hint="eastAsia" w:ascii="仿宋_GB2312" w:hAnsi="仿宋_GB2312" w:eastAsia="仿宋_GB2312" w:cs="仿宋_GB2312"/>
          <w:sz w:val="24"/>
        </w:rPr>
        <w:t>把，无芯无膛线，拆装灵活，便于清洁，药液喷射均匀。</w:t>
      </w:r>
    </w:p>
    <w:p w14:paraId="3D080FDB">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正压缩泵：1台，0～0.28Mpa，压力大小可调。</w:t>
      </w:r>
    </w:p>
    <w:p w14:paraId="79550777">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负压缩泵：≥2台，0MPa～ -0.1MPa，压力大小可调，有防噪音设计。</w:t>
      </w:r>
    </w:p>
    <w:p w14:paraId="4E0C684D">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加热除雾装置：1套，性能稳定；0～80s定时设置，人工控制开关。</w:t>
      </w:r>
    </w:p>
    <w:p w14:paraId="4D0A266B">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欧式管装置：1套，0～0.28Mpa，压力可调。</w:t>
      </w:r>
    </w:p>
    <w:p w14:paraId="1970A58C">
      <w:pPr>
        <w:pStyle w:val="24"/>
        <w:numPr>
          <w:ilvl w:val="0"/>
          <w:numId w:val="1"/>
        </w:numPr>
        <w:spacing w:line="360" w:lineRule="auto"/>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分泌物吸引装置：≥2套，0MPa～ -0.1MPa，压力可调，具有防回流装置，易清洁。</w:t>
      </w:r>
    </w:p>
    <w:p w14:paraId="118BBB10">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纱布容器：≥3个，嵌入式设计，方便投放和取出消毒。</w:t>
      </w:r>
    </w:p>
    <w:p w14:paraId="38940810">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污物瓶：具有主、副污物瓶，规格≥</w:t>
      </w:r>
      <w:r>
        <w:rPr>
          <w:rFonts w:ascii="仿宋_GB2312" w:hAnsi="仿宋_GB2312" w:eastAsia="仿宋_GB2312" w:cs="仿宋_GB2312"/>
          <w:sz w:val="24"/>
        </w:rPr>
        <w:t>2500ml</w:t>
      </w:r>
      <w:r>
        <w:rPr>
          <w:rFonts w:hint="eastAsia" w:ascii="仿宋_GB2312" w:hAnsi="仿宋_GB2312" w:eastAsia="仿宋_GB2312" w:cs="仿宋_GB2312"/>
          <w:sz w:val="24"/>
        </w:rPr>
        <w:t>和</w:t>
      </w:r>
      <w:r>
        <w:rPr>
          <w:rFonts w:ascii="仿宋_GB2312" w:hAnsi="仿宋_GB2312" w:eastAsia="仿宋_GB2312" w:cs="仿宋_GB2312"/>
          <w:sz w:val="24"/>
        </w:rPr>
        <w:t>250ml</w:t>
      </w:r>
      <w:r>
        <w:rPr>
          <w:rFonts w:hint="eastAsia" w:ascii="仿宋_GB2312" w:hAnsi="仿宋_GB2312" w:eastAsia="仿宋_GB2312" w:cs="仿宋_GB2312"/>
          <w:sz w:val="24"/>
        </w:rPr>
        <w:t>。</w:t>
      </w:r>
    </w:p>
    <w:p w14:paraId="220630F2">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正常工作噪声：≤60dB。</w:t>
      </w:r>
    </w:p>
    <w:p w14:paraId="1787D64E">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b/>
          <w:sz w:val="24"/>
        </w:rPr>
        <w:t>★</w:t>
      </w:r>
      <w:r>
        <w:rPr>
          <w:rFonts w:hint="eastAsia" w:ascii="仿宋_GB2312" w:hAnsi="仿宋_GB2312" w:eastAsia="仿宋_GB2312" w:cs="仿宋_GB2312"/>
          <w:sz w:val="24"/>
        </w:rPr>
        <w:t>全电动病人座椅：1台，≥600(W)×780(D)×1250(H)mm,水平旋转角度≥300°，两侧扶手可以360°旋转，升降速度≤10mm/s,靠背最大倾斜180°，最大负载≥135kg。</w:t>
      </w:r>
    </w:p>
    <w:p w14:paraId="5AA44470">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医生座椅：1把，可旋转，带升降。</w:t>
      </w:r>
    </w:p>
    <w:p w14:paraId="6AE25301">
      <w:pPr>
        <w:pStyle w:val="24"/>
        <w:numPr>
          <w:ilvl w:val="0"/>
          <w:numId w:val="1"/>
        </w:numPr>
        <w:spacing w:line="460" w:lineRule="exact"/>
        <w:ind w:firstLineChars="0"/>
        <w:rPr>
          <w:rFonts w:ascii="仿宋_GB2312" w:hAnsi="仿宋_GB2312" w:eastAsia="仿宋_GB2312" w:cs="仿宋_GB2312"/>
          <w:sz w:val="24"/>
        </w:rPr>
      </w:pPr>
      <w:r>
        <w:rPr>
          <w:rFonts w:hint="eastAsia" w:ascii="仿宋_GB2312" w:hAnsi="仿宋_GB2312" w:eastAsia="仿宋_GB2312" w:cs="仿宋_GB2312"/>
          <w:sz w:val="24"/>
        </w:rPr>
        <w:t>阅片灯：1套。</w:t>
      </w:r>
    </w:p>
    <w:p w14:paraId="1096CEE2">
      <w:pPr>
        <w:widowControl/>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（二）商务要求：</w:t>
      </w:r>
    </w:p>
    <w:p w14:paraId="5B5D0DA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1、交付时间（服务期限）：合同签订后15个工作日内设备到货，到货后3个工作日内完成安装、软硬件调试、系统联调与验收</w:t>
      </w:r>
    </w:p>
    <w:p w14:paraId="457BD643">
      <w:pPr>
        <w:snapToGrid w:val="0"/>
        <w:spacing w:line="520" w:lineRule="exact"/>
        <w:ind w:firstLine="480" w:firstLineChars="200"/>
        <w:rPr>
          <w:rFonts w:ascii="仿宋_GB2312" w:hAnsi="仿宋_GB2312" w:eastAsia="仿宋_GB2312" w:cs="仿宋_GB2312"/>
          <w:sz w:val="24"/>
        </w:rPr>
      </w:pPr>
      <w:r>
        <w:rPr>
          <w:rFonts w:hint="eastAsia" w:ascii="仿宋" w:hAnsi="仿宋" w:eastAsia="仿宋" w:cs="仿宋_GB2312"/>
          <w:sz w:val="24"/>
        </w:rPr>
        <w:t>■</w:t>
      </w:r>
      <w:r>
        <w:rPr>
          <w:rFonts w:hint="eastAsia" w:ascii="仿宋_GB2312" w:hAnsi="仿宋_GB2312" w:eastAsia="仿宋_GB2312" w:cs="仿宋_GB2312"/>
          <w:sz w:val="24"/>
        </w:rPr>
        <w:t>合同签订后天内完成实施要求并具备验收条件。</w:t>
      </w:r>
    </w:p>
    <w:p w14:paraId="0D662D8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服务期限自合同签订起1年。</w:t>
      </w:r>
    </w:p>
    <w:p w14:paraId="1849DAE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p>
    <w:p w14:paraId="2DCFCC5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2、交付地点（服务地点）：北京市海淀区学院路37号北京航空航天大学校医院。</w:t>
      </w:r>
    </w:p>
    <w:p w14:paraId="2AF25D56">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3、包装运输（如有）：供应商负责设备的供货、运输、卸货、安装等。</w:t>
      </w:r>
    </w:p>
    <w:p w14:paraId="694F1EE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4、售后服务（如有）：质保期2年、终身成本价维修，工程师现场操作维护培训等。</w:t>
      </w:r>
    </w:p>
    <w:p w14:paraId="1B5BC85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5、培训方案（如有）：提供完整培训方案。</w:t>
      </w:r>
    </w:p>
    <w:p w14:paraId="42F13EB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6、人员资质要求（如有）：技术人员需有相关检测资质。</w:t>
      </w:r>
    </w:p>
    <w:p w14:paraId="74449CD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7、保险：保险费由供应商承担。    </w:t>
      </w:r>
    </w:p>
    <w:p w14:paraId="44C0DAB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8、其他：   </w:t>
      </w:r>
    </w:p>
    <w:p w14:paraId="41723C1B">
      <w:pPr>
        <w:snapToGrid w:val="0"/>
        <w:spacing w:line="520" w:lineRule="exact"/>
        <w:ind w:firstLine="482" w:firstLineChars="200"/>
        <w:rPr>
          <w:sz w:val="20"/>
          <w:szCs w:val="22"/>
        </w:rPr>
      </w:pPr>
      <w:r>
        <w:rPr>
          <w:rFonts w:hint="eastAsia" w:ascii="仿宋_GB2312" w:hAnsi="仿宋_GB2312" w:eastAsia="仿宋_GB2312" w:cs="仿宋_GB2312"/>
          <w:b/>
          <w:bCs/>
          <w:sz w:val="24"/>
        </w:rPr>
        <w:t>（三）验收要求：</w:t>
      </w:r>
      <w:r>
        <w:rPr>
          <w:rFonts w:hint="eastAsia" w:ascii="仿宋_GB2312" w:hAnsi="仿宋_GB2312" w:eastAsia="仿宋_GB2312" w:cs="仿宋_GB2312"/>
          <w:sz w:val="24"/>
          <w:u w:val="single"/>
        </w:rPr>
        <w:t xml:space="preserve"> 产品</w:t>
      </w:r>
      <w:r>
        <w:rPr>
          <w:rFonts w:hint="eastAsia" w:ascii="仿宋_GB2312" w:hAnsi="仿宋_GB2312" w:eastAsia="仿宋_GB2312" w:cs="仿宋_GB2312"/>
          <w:sz w:val="24"/>
          <w:u w:val="single"/>
          <w:lang w:val="en-US" w:eastAsia="zh-CN"/>
        </w:rPr>
        <w:t>满足上述技术需求条件，满足开诊条件</w:t>
      </w:r>
      <w:r>
        <w:rPr>
          <w:rFonts w:hint="eastAsia" w:ascii="仿宋_GB2312" w:hAnsi="仿宋_GB2312" w:eastAsia="仿宋_GB2312" w:cs="仿宋_GB2312"/>
          <w:sz w:val="24"/>
        </w:rPr>
        <w:t>。</w:t>
      </w:r>
    </w:p>
    <w:p w14:paraId="05B1CD8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p>
    <w:p w14:paraId="492089E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3329F369">
      <w:pPr>
        <w:snapToGrid w:val="0"/>
        <w:spacing w:line="520" w:lineRule="exact"/>
        <w:ind w:firstLine="480" w:firstLineChars="200"/>
        <w:rPr>
          <w:rFonts w:ascii="仿宋_GB2312" w:hAnsi="仿宋_GB2312" w:eastAsia="仿宋_GB2312" w:cs="仿宋_GB2312"/>
          <w:sz w:val="24"/>
        </w:rPr>
      </w:pPr>
      <w:r>
        <w:rPr>
          <w:rFonts w:hint="eastAsia" w:ascii="仿宋" w:hAnsi="仿宋" w:eastAsia="仿宋" w:cs="仿宋_GB2312"/>
          <w:sz w:val="24"/>
        </w:rPr>
        <w:t>■</w:t>
      </w:r>
      <w:r>
        <w:rPr>
          <w:rFonts w:hint="eastAsia" w:ascii="仿宋_GB2312" w:hAnsi="仿宋_GB2312" w:eastAsia="仿宋_GB2312" w:cs="仿宋_GB2312"/>
          <w:sz w:val="24"/>
        </w:rPr>
        <w:t>分期付款，合同签订个工作日内采购人向供应商支付合同总价的50%的首付款；货物调试且验收合格后，采购人支付合同总价的45%，验收合格正常使用6个月，没有质量问题，采购人向供应商支付合同总价的5%。</w:t>
      </w:r>
    </w:p>
    <w:p w14:paraId="270C374B">
      <w:pPr>
        <w:pStyle w:val="2"/>
      </w:pPr>
    </w:p>
    <w:p w14:paraId="5F7726F6">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252F9B25">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附件1：采购标的报价单</w:t>
      </w:r>
    </w:p>
    <w:p w14:paraId="17EF54ED">
      <w:pPr>
        <w:jc w:val="center"/>
        <w:rPr>
          <w:rFonts w:ascii="黑体" w:eastAsia="黑体"/>
          <w:b/>
          <w:sz w:val="32"/>
          <w:szCs w:val="32"/>
        </w:rPr>
      </w:pPr>
    </w:p>
    <w:p w14:paraId="4EB83B6F">
      <w:pPr>
        <w:jc w:val="center"/>
        <w:rPr>
          <w:rFonts w:ascii="黑体" w:eastAsia="黑体"/>
          <w:b/>
          <w:sz w:val="32"/>
          <w:szCs w:val="32"/>
        </w:rPr>
      </w:pPr>
      <w:r>
        <w:rPr>
          <w:rFonts w:hint="eastAsia" w:ascii="黑体" w:eastAsia="黑体"/>
          <w:b/>
          <w:sz w:val="32"/>
          <w:szCs w:val="32"/>
        </w:rPr>
        <w:t>北航校医院耳鼻喉综合治疗台设备采购报价单</w:t>
      </w:r>
    </w:p>
    <w:p w14:paraId="26B2A76F">
      <w:pPr>
        <w:rPr>
          <w:rFonts w:ascii="华文楷体" w:hAnsi="华文楷体" w:eastAsia="华文楷体"/>
          <w:b/>
          <w:bCs/>
          <w:sz w:val="28"/>
          <w:szCs w:val="28"/>
        </w:rPr>
      </w:pPr>
    </w:p>
    <w:p w14:paraId="346889DD">
      <w:r>
        <w:rPr>
          <w:rFonts w:hint="eastAsia" w:ascii="华文楷体" w:hAnsi="华文楷体" w:eastAsia="华文楷体"/>
          <w:b/>
          <w:bCs/>
          <w:sz w:val="28"/>
          <w:szCs w:val="28"/>
        </w:rPr>
        <w:t>供应商：____________________（加盖单位公章）</w:t>
      </w:r>
    </w:p>
    <w:tbl>
      <w:tblPr>
        <w:tblStyle w:val="14"/>
        <w:tblW w:w="58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829"/>
        <w:gridCol w:w="1841"/>
        <w:gridCol w:w="956"/>
        <w:gridCol w:w="1510"/>
        <w:gridCol w:w="1992"/>
      </w:tblGrid>
      <w:tr w14:paraId="5967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418" w:type="pct"/>
            <w:vAlign w:val="center"/>
          </w:tcPr>
          <w:p w14:paraId="544A9AFC">
            <w:pPr>
              <w:spacing w:line="360" w:lineRule="auto"/>
              <w:jc w:val="center"/>
              <w:rPr>
                <w:rFonts w:ascii="宋体" w:hAnsi="宋体"/>
                <w:bCs/>
                <w:szCs w:val="21"/>
              </w:rPr>
            </w:pPr>
            <w:r>
              <w:rPr>
                <w:rFonts w:hint="eastAsia" w:ascii="宋体" w:hAnsi="宋体"/>
                <w:bCs/>
                <w:szCs w:val="21"/>
              </w:rPr>
              <w:t>序号</w:t>
            </w:r>
          </w:p>
        </w:tc>
        <w:tc>
          <w:tcPr>
            <w:tcW w:w="1420" w:type="pct"/>
            <w:vAlign w:val="center"/>
          </w:tcPr>
          <w:p w14:paraId="4C80C861">
            <w:pPr>
              <w:spacing w:line="360" w:lineRule="auto"/>
              <w:jc w:val="center"/>
              <w:rPr>
                <w:rFonts w:ascii="宋体" w:hAnsi="宋体"/>
                <w:bCs/>
                <w:szCs w:val="21"/>
              </w:rPr>
            </w:pPr>
            <w:r>
              <w:rPr>
                <w:rFonts w:hint="eastAsia" w:ascii="宋体" w:hAnsi="宋体"/>
                <w:bCs/>
                <w:szCs w:val="21"/>
              </w:rPr>
              <w:t>服务内容</w:t>
            </w:r>
          </w:p>
        </w:tc>
        <w:tc>
          <w:tcPr>
            <w:tcW w:w="924" w:type="pct"/>
            <w:vAlign w:val="center"/>
          </w:tcPr>
          <w:p w14:paraId="4D392289">
            <w:pPr>
              <w:spacing w:line="360" w:lineRule="auto"/>
              <w:jc w:val="center"/>
              <w:rPr>
                <w:rFonts w:ascii="宋体" w:hAnsi="宋体"/>
                <w:bCs/>
                <w:szCs w:val="21"/>
              </w:rPr>
            </w:pPr>
            <w:r>
              <w:rPr>
                <w:rFonts w:hint="eastAsia" w:ascii="宋体" w:hAnsi="宋体"/>
                <w:bCs/>
                <w:szCs w:val="21"/>
              </w:rPr>
              <w:t>数量（例）</w:t>
            </w:r>
          </w:p>
        </w:tc>
        <w:tc>
          <w:tcPr>
            <w:tcW w:w="480" w:type="pct"/>
            <w:vAlign w:val="center"/>
          </w:tcPr>
          <w:p w14:paraId="5BD77E96">
            <w:pPr>
              <w:spacing w:line="360" w:lineRule="auto"/>
              <w:jc w:val="center"/>
              <w:rPr>
                <w:rFonts w:ascii="宋体" w:hAnsi="宋体"/>
                <w:bCs/>
                <w:szCs w:val="21"/>
              </w:rPr>
            </w:pPr>
            <w:r>
              <w:rPr>
                <w:rFonts w:hint="eastAsia" w:ascii="宋体" w:hAnsi="宋体"/>
                <w:bCs/>
                <w:szCs w:val="21"/>
              </w:rPr>
              <w:t>单位</w:t>
            </w:r>
          </w:p>
        </w:tc>
        <w:tc>
          <w:tcPr>
            <w:tcW w:w="758" w:type="pct"/>
            <w:vAlign w:val="center"/>
          </w:tcPr>
          <w:p w14:paraId="2D0BDF6D">
            <w:pPr>
              <w:spacing w:line="360" w:lineRule="auto"/>
              <w:jc w:val="center"/>
              <w:rPr>
                <w:rFonts w:ascii="宋体" w:hAnsi="宋体"/>
                <w:bCs/>
                <w:szCs w:val="21"/>
              </w:rPr>
            </w:pPr>
            <w:r>
              <w:rPr>
                <w:rFonts w:hint="eastAsia" w:ascii="宋体" w:hAnsi="宋体"/>
                <w:bCs/>
                <w:szCs w:val="21"/>
              </w:rPr>
              <w:t>单价（元）</w:t>
            </w:r>
          </w:p>
        </w:tc>
        <w:tc>
          <w:tcPr>
            <w:tcW w:w="1000" w:type="pct"/>
            <w:vAlign w:val="center"/>
          </w:tcPr>
          <w:p w14:paraId="0008A5DF">
            <w:pPr>
              <w:spacing w:line="360" w:lineRule="auto"/>
              <w:jc w:val="center"/>
              <w:rPr>
                <w:rFonts w:ascii="宋体" w:hAnsi="宋体"/>
                <w:bCs/>
                <w:szCs w:val="21"/>
              </w:rPr>
            </w:pPr>
            <w:r>
              <w:rPr>
                <w:rFonts w:hint="eastAsia" w:ascii="宋体" w:hAnsi="宋体"/>
                <w:bCs/>
                <w:szCs w:val="21"/>
              </w:rPr>
              <w:t>备注</w:t>
            </w:r>
          </w:p>
        </w:tc>
      </w:tr>
      <w:tr w14:paraId="2A0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418" w:type="pct"/>
            <w:vAlign w:val="center"/>
          </w:tcPr>
          <w:p w14:paraId="673C3E57">
            <w:pPr>
              <w:spacing w:line="360" w:lineRule="auto"/>
              <w:jc w:val="center"/>
              <w:rPr>
                <w:rFonts w:ascii="宋体" w:hAnsi="宋体"/>
                <w:bCs/>
                <w:szCs w:val="21"/>
              </w:rPr>
            </w:pPr>
            <w:r>
              <w:rPr>
                <w:rFonts w:hint="eastAsia" w:ascii="宋体" w:hAnsi="宋体"/>
                <w:bCs/>
                <w:szCs w:val="21"/>
              </w:rPr>
              <w:t>1</w:t>
            </w:r>
          </w:p>
        </w:tc>
        <w:tc>
          <w:tcPr>
            <w:tcW w:w="1420" w:type="pct"/>
            <w:vAlign w:val="center"/>
          </w:tcPr>
          <w:p w14:paraId="2986A611">
            <w:pPr>
              <w:widowControl/>
              <w:jc w:val="center"/>
              <w:rPr>
                <w:rFonts w:ascii="宋体" w:hAnsi="宋体" w:cs="宋体"/>
                <w:color w:val="000000"/>
                <w:kern w:val="0"/>
                <w:szCs w:val="21"/>
              </w:rPr>
            </w:pPr>
            <w:r>
              <w:rPr>
                <w:rFonts w:hint="eastAsia" w:ascii="宋体" w:hAnsi="宋体" w:cs="宋体"/>
                <w:color w:val="000000"/>
                <w:kern w:val="0"/>
                <w:szCs w:val="21"/>
              </w:rPr>
              <w:t>耳鼻喉综合治疗台</w:t>
            </w:r>
          </w:p>
        </w:tc>
        <w:tc>
          <w:tcPr>
            <w:tcW w:w="924" w:type="pct"/>
            <w:vAlign w:val="center"/>
          </w:tcPr>
          <w:p w14:paraId="7115D1EC">
            <w:pPr>
              <w:spacing w:line="360" w:lineRule="auto"/>
              <w:rPr>
                <w:rFonts w:ascii="宋体" w:hAnsi="宋体"/>
                <w:bCs/>
                <w:szCs w:val="21"/>
              </w:rPr>
            </w:pPr>
          </w:p>
        </w:tc>
        <w:tc>
          <w:tcPr>
            <w:tcW w:w="480" w:type="pct"/>
            <w:vAlign w:val="center"/>
          </w:tcPr>
          <w:p w14:paraId="4804ABA1">
            <w:pPr>
              <w:spacing w:line="360" w:lineRule="auto"/>
              <w:jc w:val="center"/>
              <w:rPr>
                <w:rFonts w:ascii="宋体" w:hAnsi="宋体"/>
                <w:bCs/>
                <w:szCs w:val="21"/>
              </w:rPr>
            </w:pPr>
          </w:p>
        </w:tc>
        <w:tc>
          <w:tcPr>
            <w:tcW w:w="758" w:type="pct"/>
            <w:vAlign w:val="center"/>
          </w:tcPr>
          <w:p w14:paraId="38EC75BF">
            <w:pPr>
              <w:spacing w:line="360" w:lineRule="auto"/>
              <w:rPr>
                <w:rFonts w:ascii="宋体" w:hAnsi="宋体"/>
                <w:bCs/>
                <w:szCs w:val="21"/>
              </w:rPr>
            </w:pPr>
          </w:p>
        </w:tc>
        <w:tc>
          <w:tcPr>
            <w:tcW w:w="1000" w:type="pct"/>
            <w:vAlign w:val="center"/>
          </w:tcPr>
          <w:p w14:paraId="0CFD1041">
            <w:pPr>
              <w:spacing w:line="360" w:lineRule="auto"/>
              <w:jc w:val="center"/>
              <w:rPr>
                <w:rFonts w:ascii="宋体" w:hAnsi="宋体"/>
                <w:bCs/>
                <w:szCs w:val="21"/>
              </w:rPr>
            </w:pPr>
            <w:r>
              <w:rPr>
                <w:rFonts w:hint="eastAsia" w:ascii="宋体" w:hAnsi="宋体"/>
                <w:bCs/>
                <w:szCs w:val="21"/>
              </w:rPr>
              <w:t>内容详见技术要求</w:t>
            </w:r>
          </w:p>
        </w:tc>
      </w:tr>
    </w:tbl>
    <w:p w14:paraId="5D49E0D9">
      <w:pPr>
        <w:pStyle w:val="2"/>
        <w:ind w:left="0" w:leftChars="0" w:firstLine="0" w:firstLineChars="0"/>
        <w:rPr>
          <w:rFonts w:ascii="宋体" w:hAnsi="宋体"/>
          <w:sz w:val="24"/>
          <w:szCs w:val="24"/>
        </w:rPr>
      </w:pPr>
    </w:p>
    <w:p w14:paraId="60CEBF38">
      <w:pPr>
        <w:pStyle w:val="2"/>
        <w:ind w:left="0" w:leftChars="0" w:firstLine="0" w:firstLineChars="0"/>
        <w:rPr>
          <w:rFonts w:ascii="宋体" w:hAnsi="宋体"/>
          <w:sz w:val="24"/>
          <w:szCs w:val="24"/>
        </w:rPr>
      </w:pPr>
      <w:r>
        <w:rPr>
          <w:rFonts w:hint="eastAsia" w:ascii="宋体" w:hAnsi="宋体"/>
          <w:sz w:val="24"/>
          <w:szCs w:val="24"/>
        </w:rPr>
        <w:t>供应商授权代表(签字</w:t>
      </w:r>
      <w:r>
        <w:rPr>
          <w:rFonts w:ascii="宋体" w:hAnsi="宋体"/>
          <w:sz w:val="24"/>
          <w:szCs w:val="24"/>
        </w:rPr>
        <w:t>)</w:t>
      </w:r>
      <w:r>
        <w:rPr>
          <w:rFonts w:hint="eastAsia" w:ascii="宋体" w:hAnsi="宋体"/>
          <w:sz w:val="24"/>
          <w:szCs w:val="24"/>
        </w:rPr>
        <w:t>：_</w:t>
      </w:r>
      <w:r>
        <w:rPr>
          <w:rFonts w:ascii="宋体" w:hAnsi="宋体"/>
          <w:sz w:val="24"/>
          <w:szCs w:val="24"/>
        </w:rPr>
        <w:t>____________________</w:t>
      </w:r>
    </w:p>
    <w:p w14:paraId="292E84B1">
      <w:pPr>
        <w:pStyle w:val="2"/>
        <w:ind w:left="0" w:leftChars="0" w:firstLine="0" w:firstLineChars="0"/>
        <w:rPr>
          <w:rFonts w:ascii="宋体" w:hAnsi="宋体"/>
          <w:sz w:val="24"/>
          <w:szCs w:val="24"/>
        </w:rPr>
      </w:pPr>
      <w:r>
        <w:rPr>
          <w:rFonts w:hint="eastAsia" w:ascii="宋体" w:hAnsi="宋体"/>
          <w:sz w:val="24"/>
          <w:szCs w:val="24"/>
        </w:rPr>
        <w:t>联系电话：</w:t>
      </w:r>
    </w:p>
    <w:p w14:paraId="3A881374">
      <w:pPr>
        <w:pStyle w:val="2"/>
        <w:ind w:left="0" w:leftChars="0" w:firstLine="0" w:firstLineChars="0"/>
        <w:rPr>
          <w:rFonts w:ascii="仿宋_GB2312" w:hAnsi="仿宋_GB2312" w:eastAsia="仿宋_GB2312" w:cs="仿宋_GB2312"/>
          <w:sz w:val="24"/>
          <w:szCs w:val="24"/>
        </w:rPr>
      </w:pPr>
      <w:r>
        <w:rPr>
          <w:rFonts w:hint="eastAsia" w:ascii="宋体" w:hAnsi="宋体"/>
          <w:sz w:val="24"/>
          <w:szCs w:val="24"/>
        </w:rPr>
        <w:t>备注</w:t>
      </w:r>
      <w:r>
        <w:rPr>
          <w:rFonts w:hint="eastAsia"/>
          <w:spacing w:val="-9"/>
          <w:sz w:val="24"/>
          <w:szCs w:val="24"/>
        </w:rPr>
        <w:t>：</w:t>
      </w: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A98D">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0325" cy="154940"/>
              <wp:effectExtent l="0" t="0" r="0" b="0"/>
              <wp:wrapNone/>
              <wp:docPr id="1" name="文本框 4"/>
              <wp:cNvGraphicFramePr/>
              <a:graphic xmlns:a="http://schemas.openxmlformats.org/drawingml/2006/main">
                <a:graphicData uri="http://schemas.microsoft.com/office/word/2010/wordprocessingShape">
                  <wps:wsp>
                    <wps:cNvSpPr txBox="1"/>
                    <wps:spPr>
                      <a:xfrm>
                        <a:off x="0" y="0"/>
                        <a:ext cx="60325" cy="154940"/>
                      </a:xfrm>
                      <a:prstGeom prst="rect">
                        <a:avLst/>
                      </a:prstGeom>
                      <a:noFill/>
                      <a:ln>
                        <a:noFill/>
                      </a:ln>
                    </wps:spPr>
                    <wps:txbx>
                      <w:txbxContent>
                        <w:p w14:paraId="349B3220">
                          <w:pPr>
                            <w:pStyle w:val="10"/>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2.2pt;width:4.75pt;mso-position-horizontal:center;mso-position-horizontal-relative:margin;mso-wrap-style:none;z-index:251659264;mso-width-relative:page;mso-height-relative:page;" filled="f" stroked="f" coordsize="21600,21600" o:gfxdata="UEsDBAoAAAAAAIdO4kAAAAAAAAAAAAAAAAAEAAAAZHJzL1BLAwQUAAAACACHTuJAeo0nyNEAAAAC&#10;AQAADwAAAGRycy9kb3ducmV2LnhtbE2PwU7DMBBE70j8g7VI3KjTqtAS4vRQiQu3FlSpNzfexhH2&#10;OrLdNPn7LlzgstJoRjNvq83onRgwpi6QgvmsAIHUBNNRq+Dr8/1pDSJlTUa7QKhgwgSb+v6u0qUJ&#10;V9rhsM+t4BJKpVZgc+5LKVNj0es0Cz0Se+cQvc4sYytN1Fcu904uiuJFet0RL1jd49Zi872/eAWr&#10;8RCwT7jF43loou2mtfuYlHp8mBdvIDKO+S8MP/iMDjUzncKFTBJOAT+Sfy97r88gTgoWyyXIupL/&#10;0esbUEsDBBQAAAAIAIdO4kDy6ZEVxgEAAIoDAAAOAAAAZHJzL2Uyb0RvYy54bWytU82O0zAQviPx&#10;Dpbv1GnpriBqugJVi5AQIC08gOvYjSX/yeM26QvAG3Diwp3n6nPs2Em7sFz2wMWZjCfffN83k9XN&#10;YA05yAjau4bOZxUl0gnfardr6Ncvty9eUQKJu5Yb72RDjxLozfr5s1UfarnwnTetjARBHNR9aGiX&#10;UqgZA9FJy2Hmg3R4qXy0POFr3LE28h7RrWGLqrpmvY9tiF5IAMxuxks6IcanAHqltJAbL/ZWujSi&#10;Rml4QknQ6QB0XdgqJUX6pBTIRExDUWkqJzbBeJtPtl7xehd56LSYKPCnUHikyXLtsOkFasMTJ/uo&#10;/4GyWkQPXqWZ8JaNQoojqGJePfLmruNBFi1oNYSL6fD/YMXHw+dIdIubQInjFgd++vH99PP36dc3&#10;ssz29AFqrLoLWJeGt37IpVMeMJlVDyra/EQ9BO/R3OPFXDkkIjB5Xb1cXFEi8GZ+tXy9LN6zh29D&#10;hPROekty0NCIoyuO8sMHSNgPS88luZXzt9qYMj7j/kpgYc6wTHwkmKM0bIeJ9da3RxTT49Qb6nDJ&#10;KTHvHZqaF+QcxHOwnYLcA8KbfcLGhU9GHaGmZjiiQnNap7wDf76XqodfaH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eo0nyNEAAAACAQAADwAAAAAAAAABACAAAAAiAAAAZHJzL2Rvd25yZXYueG1s&#10;UEsBAhQAFAAAAAgAh07iQPLpkRXGAQAAigMAAA4AAAAAAAAAAQAgAAAAIAEAAGRycy9lMm9Eb2Mu&#10;eG1sUEsFBgAAAAAGAAYAWQEAAFgFAAAAAA==&#10;">
              <v:fill on="f" focussize="0,0"/>
              <v:stroke on="f"/>
              <v:imagedata o:title=""/>
              <o:lock v:ext="edit" aspectratio="f"/>
              <v:textbox inset="0mm,0mm,0mm,0mm" style="mso-fit-shape-to-text:t;">
                <w:txbxContent>
                  <w:p w14:paraId="349B3220">
                    <w:pPr>
                      <w:pStyle w:val="10"/>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594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C7286D"/>
    <w:multiLevelType w:val="multilevel"/>
    <w:tmpl w:val="6EC7286D"/>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M3NjU1ZGIzYzI3NWQ0MmFiNjdkNDAzMTI3YTQifQ=="/>
  </w:docVars>
  <w:rsids>
    <w:rsidRoot w:val="008F294C"/>
    <w:rsid w:val="00017EC7"/>
    <w:rsid w:val="000234E1"/>
    <w:rsid w:val="00033C45"/>
    <w:rsid w:val="0004169C"/>
    <w:rsid w:val="0005284C"/>
    <w:rsid w:val="00054AA8"/>
    <w:rsid w:val="00064423"/>
    <w:rsid w:val="000759D2"/>
    <w:rsid w:val="000762D5"/>
    <w:rsid w:val="00082CEB"/>
    <w:rsid w:val="000914B2"/>
    <w:rsid w:val="000935C6"/>
    <w:rsid w:val="000A30C3"/>
    <w:rsid w:val="000A46E5"/>
    <w:rsid w:val="000A7AFC"/>
    <w:rsid w:val="000B2854"/>
    <w:rsid w:val="000C269B"/>
    <w:rsid w:val="000C429D"/>
    <w:rsid w:val="000D6DBC"/>
    <w:rsid w:val="001003C8"/>
    <w:rsid w:val="00112CC3"/>
    <w:rsid w:val="0011378F"/>
    <w:rsid w:val="00117C57"/>
    <w:rsid w:val="00122BF7"/>
    <w:rsid w:val="001250A0"/>
    <w:rsid w:val="001260A5"/>
    <w:rsid w:val="00131311"/>
    <w:rsid w:val="00133B29"/>
    <w:rsid w:val="0016016F"/>
    <w:rsid w:val="00165255"/>
    <w:rsid w:val="00177598"/>
    <w:rsid w:val="00182005"/>
    <w:rsid w:val="00182AA9"/>
    <w:rsid w:val="001834EA"/>
    <w:rsid w:val="001A380C"/>
    <w:rsid w:val="001A516B"/>
    <w:rsid w:val="001B06FE"/>
    <w:rsid w:val="001B3B15"/>
    <w:rsid w:val="001C20F4"/>
    <w:rsid w:val="001E5547"/>
    <w:rsid w:val="001E6D9B"/>
    <w:rsid w:val="001F72EA"/>
    <w:rsid w:val="002001EF"/>
    <w:rsid w:val="0021101D"/>
    <w:rsid w:val="002169C6"/>
    <w:rsid w:val="002175D5"/>
    <w:rsid w:val="0022176A"/>
    <w:rsid w:val="002243FA"/>
    <w:rsid w:val="00234EE2"/>
    <w:rsid w:val="0024538F"/>
    <w:rsid w:val="0025311A"/>
    <w:rsid w:val="00254F64"/>
    <w:rsid w:val="00255E05"/>
    <w:rsid w:val="00264005"/>
    <w:rsid w:val="002674B1"/>
    <w:rsid w:val="00276DCD"/>
    <w:rsid w:val="00280A6A"/>
    <w:rsid w:val="002A1370"/>
    <w:rsid w:val="002B2DCF"/>
    <w:rsid w:val="002C181E"/>
    <w:rsid w:val="002C284F"/>
    <w:rsid w:val="002C3634"/>
    <w:rsid w:val="002D1DB4"/>
    <w:rsid w:val="002D2231"/>
    <w:rsid w:val="002D5ACE"/>
    <w:rsid w:val="002E4D1F"/>
    <w:rsid w:val="002E680B"/>
    <w:rsid w:val="003140E9"/>
    <w:rsid w:val="00314F7E"/>
    <w:rsid w:val="00317C9C"/>
    <w:rsid w:val="00320369"/>
    <w:rsid w:val="003216C6"/>
    <w:rsid w:val="0032514A"/>
    <w:rsid w:val="00325CB0"/>
    <w:rsid w:val="003375F2"/>
    <w:rsid w:val="003437B1"/>
    <w:rsid w:val="0035465B"/>
    <w:rsid w:val="00362B69"/>
    <w:rsid w:val="00380451"/>
    <w:rsid w:val="00381179"/>
    <w:rsid w:val="00385822"/>
    <w:rsid w:val="00385995"/>
    <w:rsid w:val="00386478"/>
    <w:rsid w:val="003928D9"/>
    <w:rsid w:val="003A706B"/>
    <w:rsid w:val="003B1639"/>
    <w:rsid w:val="003B3054"/>
    <w:rsid w:val="003B6303"/>
    <w:rsid w:val="003C7D39"/>
    <w:rsid w:val="003D1299"/>
    <w:rsid w:val="003E1E7D"/>
    <w:rsid w:val="003E413B"/>
    <w:rsid w:val="003F1552"/>
    <w:rsid w:val="003F1CC5"/>
    <w:rsid w:val="003F60A1"/>
    <w:rsid w:val="00412469"/>
    <w:rsid w:val="00424A2A"/>
    <w:rsid w:val="00430F1C"/>
    <w:rsid w:val="004352C7"/>
    <w:rsid w:val="00452D38"/>
    <w:rsid w:val="004678AA"/>
    <w:rsid w:val="00475E63"/>
    <w:rsid w:val="004765E2"/>
    <w:rsid w:val="0048273F"/>
    <w:rsid w:val="00497597"/>
    <w:rsid w:val="004C5CC1"/>
    <w:rsid w:val="004D3A69"/>
    <w:rsid w:val="004D5BDC"/>
    <w:rsid w:val="004E0223"/>
    <w:rsid w:val="004F051E"/>
    <w:rsid w:val="004F0BA3"/>
    <w:rsid w:val="004F6B91"/>
    <w:rsid w:val="005030DA"/>
    <w:rsid w:val="005054ED"/>
    <w:rsid w:val="0050637C"/>
    <w:rsid w:val="00513686"/>
    <w:rsid w:val="005168A8"/>
    <w:rsid w:val="00527CAA"/>
    <w:rsid w:val="00535489"/>
    <w:rsid w:val="00564C6D"/>
    <w:rsid w:val="005661F2"/>
    <w:rsid w:val="00572F3B"/>
    <w:rsid w:val="00597A7C"/>
    <w:rsid w:val="005A0F61"/>
    <w:rsid w:val="005A55DD"/>
    <w:rsid w:val="005A5926"/>
    <w:rsid w:val="005B5697"/>
    <w:rsid w:val="005C43B4"/>
    <w:rsid w:val="005C501F"/>
    <w:rsid w:val="005C71D6"/>
    <w:rsid w:val="005D518E"/>
    <w:rsid w:val="005E5BAC"/>
    <w:rsid w:val="005E6495"/>
    <w:rsid w:val="005F4DB6"/>
    <w:rsid w:val="00600E35"/>
    <w:rsid w:val="0060634A"/>
    <w:rsid w:val="00653B6E"/>
    <w:rsid w:val="006565DE"/>
    <w:rsid w:val="00663784"/>
    <w:rsid w:val="006654FA"/>
    <w:rsid w:val="00666518"/>
    <w:rsid w:val="00676741"/>
    <w:rsid w:val="006779B2"/>
    <w:rsid w:val="006815F0"/>
    <w:rsid w:val="00686A11"/>
    <w:rsid w:val="00696C70"/>
    <w:rsid w:val="006A4FB4"/>
    <w:rsid w:val="006A7115"/>
    <w:rsid w:val="006A78FE"/>
    <w:rsid w:val="006B3A41"/>
    <w:rsid w:val="006C3C95"/>
    <w:rsid w:val="006E23F4"/>
    <w:rsid w:val="006E33C8"/>
    <w:rsid w:val="006E4B91"/>
    <w:rsid w:val="006F1648"/>
    <w:rsid w:val="00710B61"/>
    <w:rsid w:val="0072195B"/>
    <w:rsid w:val="007313CB"/>
    <w:rsid w:val="00731FD4"/>
    <w:rsid w:val="007321CB"/>
    <w:rsid w:val="00744051"/>
    <w:rsid w:val="00745DA6"/>
    <w:rsid w:val="0074702B"/>
    <w:rsid w:val="00747877"/>
    <w:rsid w:val="00754A6F"/>
    <w:rsid w:val="007608DB"/>
    <w:rsid w:val="00762CDC"/>
    <w:rsid w:val="007726AA"/>
    <w:rsid w:val="007811BD"/>
    <w:rsid w:val="0078233B"/>
    <w:rsid w:val="007879F5"/>
    <w:rsid w:val="00790ECC"/>
    <w:rsid w:val="00795440"/>
    <w:rsid w:val="007C4AED"/>
    <w:rsid w:val="007C68B1"/>
    <w:rsid w:val="007D099C"/>
    <w:rsid w:val="007D196C"/>
    <w:rsid w:val="007F21E3"/>
    <w:rsid w:val="008022F2"/>
    <w:rsid w:val="0080439A"/>
    <w:rsid w:val="00805922"/>
    <w:rsid w:val="0081176D"/>
    <w:rsid w:val="00841D3F"/>
    <w:rsid w:val="00842F90"/>
    <w:rsid w:val="00843FB6"/>
    <w:rsid w:val="00860E4A"/>
    <w:rsid w:val="008825E7"/>
    <w:rsid w:val="008901D2"/>
    <w:rsid w:val="00892063"/>
    <w:rsid w:val="0089687D"/>
    <w:rsid w:val="0089739C"/>
    <w:rsid w:val="008B4A24"/>
    <w:rsid w:val="008B7EEA"/>
    <w:rsid w:val="008C41B2"/>
    <w:rsid w:val="008C5AF7"/>
    <w:rsid w:val="008D588C"/>
    <w:rsid w:val="008E1949"/>
    <w:rsid w:val="008F0659"/>
    <w:rsid w:val="008F294C"/>
    <w:rsid w:val="009004DB"/>
    <w:rsid w:val="00900D96"/>
    <w:rsid w:val="00901872"/>
    <w:rsid w:val="0092002C"/>
    <w:rsid w:val="00925546"/>
    <w:rsid w:val="0093669A"/>
    <w:rsid w:val="00937842"/>
    <w:rsid w:val="0095000D"/>
    <w:rsid w:val="009545E5"/>
    <w:rsid w:val="0095637E"/>
    <w:rsid w:val="00965317"/>
    <w:rsid w:val="0097786F"/>
    <w:rsid w:val="009778C7"/>
    <w:rsid w:val="0098513C"/>
    <w:rsid w:val="00986ACA"/>
    <w:rsid w:val="00987B4F"/>
    <w:rsid w:val="0099226A"/>
    <w:rsid w:val="00997874"/>
    <w:rsid w:val="009A3AD1"/>
    <w:rsid w:val="009B15EB"/>
    <w:rsid w:val="009B5406"/>
    <w:rsid w:val="009D1CFC"/>
    <w:rsid w:val="009D6B77"/>
    <w:rsid w:val="009E151B"/>
    <w:rsid w:val="009E5390"/>
    <w:rsid w:val="009E7300"/>
    <w:rsid w:val="009F176F"/>
    <w:rsid w:val="00A01D02"/>
    <w:rsid w:val="00A03559"/>
    <w:rsid w:val="00A05454"/>
    <w:rsid w:val="00A13316"/>
    <w:rsid w:val="00A153A7"/>
    <w:rsid w:val="00A25522"/>
    <w:rsid w:val="00A27F8C"/>
    <w:rsid w:val="00A34C14"/>
    <w:rsid w:val="00A4209E"/>
    <w:rsid w:val="00A43AC6"/>
    <w:rsid w:val="00A43E15"/>
    <w:rsid w:val="00A52B45"/>
    <w:rsid w:val="00A60009"/>
    <w:rsid w:val="00A64B7B"/>
    <w:rsid w:val="00A64EC4"/>
    <w:rsid w:val="00A746D3"/>
    <w:rsid w:val="00A75A4B"/>
    <w:rsid w:val="00A8551B"/>
    <w:rsid w:val="00A8672B"/>
    <w:rsid w:val="00A952E3"/>
    <w:rsid w:val="00AA1006"/>
    <w:rsid w:val="00AA6664"/>
    <w:rsid w:val="00AC0453"/>
    <w:rsid w:val="00AE6905"/>
    <w:rsid w:val="00AF17C0"/>
    <w:rsid w:val="00AF337A"/>
    <w:rsid w:val="00B24488"/>
    <w:rsid w:val="00B270BA"/>
    <w:rsid w:val="00B357F6"/>
    <w:rsid w:val="00B37B18"/>
    <w:rsid w:val="00B502AC"/>
    <w:rsid w:val="00B622C3"/>
    <w:rsid w:val="00B705A2"/>
    <w:rsid w:val="00B72002"/>
    <w:rsid w:val="00B739CA"/>
    <w:rsid w:val="00B968B6"/>
    <w:rsid w:val="00BB3355"/>
    <w:rsid w:val="00BB498B"/>
    <w:rsid w:val="00BB5781"/>
    <w:rsid w:val="00BC1838"/>
    <w:rsid w:val="00BC4524"/>
    <w:rsid w:val="00BD789C"/>
    <w:rsid w:val="00BD78F8"/>
    <w:rsid w:val="00BE1A28"/>
    <w:rsid w:val="00BE4E22"/>
    <w:rsid w:val="00BF0305"/>
    <w:rsid w:val="00BF7FD4"/>
    <w:rsid w:val="00C00265"/>
    <w:rsid w:val="00C009EC"/>
    <w:rsid w:val="00C03FA4"/>
    <w:rsid w:val="00C119F8"/>
    <w:rsid w:val="00C13FE9"/>
    <w:rsid w:val="00C3667D"/>
    <w:rsid w:val="00C43776"/>
    <w:rsid w:val="00C55A1E"/>
    <w:rsid w:val="00C62E68"/>
    <w:rsid w:val="00C716DF"/>
    <w:rsid w:val="00C906CD"/>
    <w:rsid w:val="00C94D72"/>
    <w:rsid w:val="00CA44B7"/>
    <w:rsid w:val="00CA5D0C"/>
    <w:rsid w:val="00CD0F7A"/>
    <w:rsid w:val="00CD344F"/>
    <w:rsid w:val="00CF384C"/>
    <w:rsid w:val="00D014BD"/>
    <w:rsid w:val="00D11E7B"/>
    <w:rsid w:val="00D1484B"/>
    <w:rsid w:val="00D179DF"/>
    <w:rsid w:val="00D33AD0"/>
    <w:rsid w:val="00D4740A"/>
    <w:rsid w:val="00D5013E"/>
    <w:rsid w:val="00D50F38"/>
    <w:rsid w:val="00D51FA8"/>
    <w:rsid w:val="00D52EA8"/>
    <w:rsid w:val="00D533D8"/>
    <w:rsid w:val="00D65806"/>
    <w:rsid w:val="00D72C55"/>
    <w:rsid w:val="00D81529"/>
    <w:rsid w:val="00D91AC4"/>
    <w:rsid w:val="00DD3BA2"/>
    <w:rsid w:val="00DF1565"/>
    <w:rsid w:val="00E17256"/>
    <w:rsid w:val="00E21552"/>
    <w:rsid w:val="00E22D24"/>
    <w:rsid w:val="00E26DDB"/>
    <w:rsid w:val="00E3566D"/>
    <w:rsid w:val="00E417D0"/>
    <w:rsid w:val="00E43627"/>
    <w:rsid w:val="00E43F83"/>
    <w:rsid w:val="00E54530"/>
    <w:rsid w:val="00E5690F"/>
    <w:rsid w:val="00E60FE3"/>
    <w:rsid w:val="00E6627B"/>
    <w:rsid w:val="00E6631B"/>
    <w:rsid w:val="00E7636B"/>
    <w:rsid w:val="00E7686E"/>
    <w:rsid w:val="00E91663"/>
    <w:rsid w:val="00E918EE"/>
    <w:rsid w:val="00E91AC4"/>
    <w:rsid w:val="00E9564D"/>
    <w:rsid w:val="00EB2819"/>
    <w:rsid w:val="00EB4367"/>
    <w:rsid w:val="00EB63FC"/>
    <w:rsid w:val="00EC0F30"/>
    <w:rsid w:val="00EC1164"/>
    <w:rsid w:val="00EC20AE"/>
    <w:rsid w:val="00EC2B9A"/>
    <w:rsid w:val="00EC4572"/>
    <w:rsid w:val="00EC6ABE"/>
    <w:rsid w:val="00ED23B5"/>
    <w:rsid w:val="00ED2487"/>
    <w:rsid w:val="00ED540F"/>
    <w:rsid w:val="00EE483C"/>
    <w:rsid w:val="00EF1E9F"/>
    <w:rsid w:val="00EF3B66"/>
    <w:rsid w:val="00F02E01"/>
    <w:rsid w:val="00F103B2"/>
    <w:rsid w:val="00F12096"/>
    <w:rsid w:val="00F15F4A"/>
    <w:rsid w:val="00F20C77"/>
    <w:rsid w:val="00F41081"/>
    <w:rsid w:val="00F56E88"/>
    <w:rsid w:val="00F570DE"/>
    <w:rsid w:val="00F6002B"/>
    <w:rsid w:val="00F6286B"/>
    <w:rsid w:val="00F660BD"/>
    <w:rsid w:val="00F6788B"/>
    <w:rsid w:val="00F74D08"/>
    <w:rsid w:val="00FA4DDE"/>
    <w:rsid w:val="00FA6C3F"/>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10F90376"/>
    <w:rsid w:val="141B6B41"/>
    <w:rsid w:val="263B71BF"/>
    <w:rsid w:val="293E148B"/>
    <w:rsid w:val="2A574CBB"/>
    <w:rsid w:val="2C971491"/>
    <w:rsid w:val="2DFF5C06"/>
    <w:rsid w:val="38226E32"/>
    <w:rsid w:val="3C061922"/>
    <w:rsid w:val="3D5D0969"/>
    <w:rsid w:val="3EB5160E"/>
    <w:rsid w:val="48472425"/>
    <w:rsid w:val="4CD34FFD"/>
    <w:rsid w:val="4D4724FE"/>
    <w:rsid w:val="51D85332"/>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outlineLvl w:val="2"/>
    </w:pPr>
    <w:rPr>
      <w:rFonts w:ascii="楷体_GB2312" w:hAnsi="宋体" w:eastAsia="黑体"/>
      <w:b/>
      <w:bCs/>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Cs w:val="20"/>
    </w:rPr>
  </w:style>
  <w:style w:type="paragraph" w:styleId="3">
    <w:name w:val="Body Text Indent"/>
    <w:basedOn w:val="1"/>
    <w:qFormat/>
    <w:uiPriority w:val="99"/>
    <w:pPr>
      <w:spacing w:line="360" w:lineRule="auto"/>
      <w:ind w:firstLine="570"/>
    </w:pPr>
  </w:style>
  <w:style w:type="paragraph" w:styleId="6">
    <w:name w:val="annotation text"/>
    <w:basedOn w:val="1"/>
    <w:link w:val="26"/>
    <w:unhideWhenUsed/>
    <w:qFormat/>
    <w:uiPriority w:val="0"/>
    <w:pPr>
      <w:jc w:val="left"/>
    </w:pPr>
  </w:style>
  <w:style w:type="paragraph" w:styleId="7">
    <w:name w:val="Body Text 3"/>
    <w:basedOn w:val="1"/>
    <w:link w:val="36"/>
    <w:semiHidden/>
    <w:unhideWhenUsed/>
    <w:qFormat/>
    <w:uiPriority w:val="99"/>
    <w:pPr>
      <w:spacing w:after="120"/>
    </w:pPr>
    <w:rPr>
      <w:sz w:val="16"/>
      <w:szCs w:val="16"/>
    </w:rPr>
  </w:style>
  <w:style w:type="paragraph" w:styleId="8">
    <w:name w:val="Plain Text"/>
    <w:basedOn w:val="1"/>
    <w:qFormat/>
    <w:uiPriority w:val="99"/>
    <w:rPr>
      <w:rFonts w:ascii="宋体" w:hAnsi="Courier New" w:cs="Times New Roman"/>
      <w:szCs w:val="20"/>
    </w:r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annotation subject"/>
    <w:basedOn w:val="6"/>
    <w:next w:val="6"/>
    <w:link w:val="27"/>
    <w:semiHidden/>
    <w:unhideWhenUsed/>
    <w:qFormat/>
    <w:uiPriority w:val="99"/>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styleId="20">
    <w:name w:val="annotation reference"/>
    <w:basedOn w:val="16"/>
    <w:semiHidden/>
    <w:unhideWhenUsed/>
    <w:qFormat/>
    <w:uiPriority w:val="99"/>
    <w:rPr>
      <w:sz w:val="21"/>
      <w:szCs w:val="21"/>
    </w:rPr>
  </w:style>
  <w:style w:type="character" w:customStyle="1" w:styleId="21">
    <w:name w:val="页眉 字符"/>
    <w:basedOn w:val="16"/>
    <w:link w:val="11"/>
    <w:qFormat/>
    <w:uiPriority w:val="99"/>
    <w:rPr>
      <w:sz w:val="18"/>
      <w:szCs w:val="18"/>
    </w:rPr>
  </w:style>
  <w:style w:type="character" w:customStyle="1" w:styleId="22">
    <w:name w:val="页脚 字符"/>
    <w:basedOn w:val="16"/>
    <w:link w:val="10"/>
    <w:qFormat/>
    <w:uiPriority w:val="99"/>
    <w:rPr>
      <w:sz w:val="18"/>
      <w:szCs w:val="18"/>
    </w:rPr>
  </w:style>
  <w:style w:type="character" w:customStyle="1" w:styleId="23">
    <w:name w:val="批注框文本 字符"/>
    <w:basedOn w:val="16"/>
    <w:link w:val="9"/>
    <w:semiHidden/>
    <w:qFormat/>
    <w:uiPriority w:val="99"/>
    <w:rPr>
      <w:sz w:val="18"/>
      <w:szCs w:val="18"/>
    </w:rPr>
  </w:style>
  <w:style w:type="paragraph" w:styleId="24">
    <w:name w:val="List Paragraph"/>
    <w:basedOn w:val="1"/>
    <w:qFormat/>
    <w:uiPriority w:val="99"/>
    <w:pPr>
      <w:ind w:firstLine="420" w:firstLineChars="200"/>
    </w:pPr>
    <w:rPr>
      <w:rFonts w:eastAsia="黑体"/>
      <w:bCs/>
      <w:sz w:val="30"/>
      <w:szCs w:val="30"/>
    </w:rPr>
  </w:style>
  <w:style w:type="paragraph" w:customStyle="1" w:styleId="2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字符"/>
    <w:basedOn w:val="16"/>
    <w:link w:val="6"/>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3"/>
    <w:semiHidden/>
    <w:qFormat/>
    <w:uiPriority w:val="99"/>
    <w:rPr>
      <w:rFonts w:asciiTheme="minorHAnsi" w:hAnsiTheme="minorHAnsi" w:eastAsiaTheme="minorEastAsia" w:cstheme="minorBidi"/>
      <w:b/>
      <w:bCs/>
      <w:kern w:val="2"/>
      <w:sz w:val="21"/>
      <w:szCs w:val="24"/>
    </w:rPr>
  </w:style>
  <w:style w:type="character" w:customStyle="1" w:styleId="28">
    <w:name w:val="标题 1 字符"/>
    <w:basedOn w:val="16"/>
    <w:link w:val="4"/>
    <w:qFormat/>
    <w:uiPriority w:val="9"/>
    <w:rPr>
      <w:rFonts w:asciiTheme="minorHAnsi" w:hAnsiTheme="minorHAnsi" w:eastAsiaTheme="minorEastAsia" w:cstheme="minorBidi"/>
      <w:b/>
      <w:bCs/>
      <w:kern w:val="44"/>
      <w:sz w:val="44"/>
      <w:szCs w:val="44"/>
    </w:rPr>
  </w:style>
  <w:style w:type="character" w:customStyle="1" w:styleId="29">
    <w:name w:val="未处理的提及1"/>
    <w:basedOn w:val="16"/>
    <w:semiHidden/>
    <w:unhideWhenUsed/>
    <w:qFormat/>
    <w:uiPriority w:val="99"/>
    <w:rPr>
      <w:color w:val="605E5C"/>
      <w:shd w:val="clear" w:color="auto" w:fill="E1DFDD"/>
    </w:rPr>
  </w:style>
  <w:style w:type="paragraph" w:customStyle="1" w:styleId="30">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1">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2">
    <w:name w:val="样式2"/>
    <w:basedOn w:val="1"/>
    <w:qFormat/>
    <w:uiPriority w:val="99"/>
    <w:pPr>
      <w:spacing w:line="300" w:lineRule="auto"/>
      <w:jc w:val="center"/>
      <w:outlineLvl w:val="0"/>
    </w:pPr>
    <w:rPr>
      <w:rFonts w:ascii="宋体" w:hAnsi="Times New Roman" w:cs="Times New Roman"/>
      <w:b/>
      <w:szCs w:val="20"/>
    </w:rPr>
  </w:style>
  <w:style w:type="paragraph" w:customStyle="1" w:styleId="33">
    <w:name w:val="列出段落1"/>
    <w:basedOn w:val="1"/>
    <w:qFormat/>
    <w:uiPriority w:val="99"/>
    <w:pPr>
      <w:ind w:firstLine="420" w:firstLineChars="200"/>
    </w:pPr>
  </w:style>
  <w:style w:type="paragraph" w:customStyle="1" w:styleId="34">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修订4"/>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6">
    <w:name w:val="正文文本 3 字符"/>
    <w:basedOn w:val="16"/>
    <w:link w:val="7"/>
    <w:semiHidden/>
    <w:qFormat/>
    <w:uiPriority w:val="99"/>
    <w:rPr>
      <w:rFonts w:asciiTheme="minorHAnsi" w:hAnsiTheme="minorHAnsi" w:eastAsiaTheme="minorEastAsia" w:cstheme="minorBidi"/>
      <w:kern w:val="2"/>
      <w:sz w:val="16"/>
      <w:szCs w:val="16"/>
    </w:rPr>
  </w:style>
  <w:style w:type="paragraph" w:customStyle="1" w:styleId="37">
    <w:name w:val="Default"/>
    <w:autoRedefine/>
    <w:unhideWhenUsed/>
    <w:qFormat/>
    <w:uiPriority w:val="99"/>
    <w:pPr>
      <w:widowControl w:val="0"/>
      <w:autoSpaceDE w:val="0"/>
      <w:autoSpaceDN w:val="0"/>
      <w:adjustRightInd w:val="0"/>
    </w:pPr>
    <w:rPr>
      <w:rFonts w:hint="eastAsia" w:ascii="宋体" w:hAnsi="宋体"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SMET</Company>
  <Pages>6</Pages>
  <Words>2628</Words>
  <Characters>2818</Characters>
  <Lines>21</Lines>
  <Paragraphs>6</Paragraphs>
  <TotalTime>2</TotalTime>
  <ScaleCrop>false</ScaleCrop>
  <LinksUpToDate>false</LinksUpToDate>
  <CharactersWithSpaces>2836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2026-06-17T02:20:00Z</dcterms:created>
  <dc:creator>River</dc:creator>
  <cp:lastModifiedBy>林琳</cp:lastModifiedBy>
  <cp:lastPrinted>2021-08-04T06:09:00Z</cp:lastPrinted>
  <dcterms:modified xsi:type="dcterms:W3CDTF">2026-06-22T10:02:55Z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9B90D09EC3F94F958BF3BDFF532CFE92_13</vt:lpwstr>
  </property>
  <property fmtid="{D5CDD505-2E9C-101B-9397-08002B2CF9AE}" pid="4" name="KSOTemplateDocerSaveRecord">
    <vt:lpwstr>eyJoZGlkIjoiZmMyYTJlZWEyYTYwNWI0M2FiY2YwY2Q2NDgxYzA3ZTMiLCJ1c2VySWQiOiIxNTcyMTY0ODY3In0=</vt:lpwstr>
  </property>
</Properties>
</file>