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2E8F5">
      <w:pPr>
        <w:snapToGrid w:val="0"/>
        <w:spacing w:line="560" w:lineRule="exact"/>
        <w:jc w:val="center"/>
        <w:rPr>
          <w:rFonts w:hint="default" w:ascii="小标宋" w:hAnsi="小标宋" w:eastAsia="小标宋" w:cs="小标宋"/>
          <w:bCs/>
          <w:color w:val="000000" w:themeColor="text1"/>
          <w:kern w:val="0"/>
          <w:sz w:val="32"/>
          <w:szCs w:val="32"/>
          <w:lang w:val="en-US" w:eastAsia="zh-CN"/>
          <w14:textFill>
            <w14:solidFill>
              <w14:schemeClr w14:val="tx1"/>
            </w14:solidFill>
          </w14:textFill>
        </w:rPr>
      </w:pPr>
      <w:r>
        <w:rPr>
          <w:rFonts w:hint="eastAsia" w:ascii="小标宋" w:hAnsi="小标宋" w:eastAsia="小标宋" w:cs="小标宋"/>
          <w:bCs/>
          <w:color w:val="000000" w:themeColor="text1"/>
          <w:kern w:val="0"/>
          <w:sz w:val="32"/>
          <w:szCs w:val="32"/>
          <w14:textFill>
            <w14:solidFill>
              <w14:schemeClr w14:val="tx1"/>
            </w14:solidFill>
          </w14:textFill>
        </w:rPr>
        <w:t>北航校医院北三楼</w:t>
      </w:r>
      <w:r>
        <w:rPr>
          <w:rFonts w:hint="eastAsia" w:ascii="小标宋" w:hAnsi="小标宋" w:eastAsia="小标宋" w:cs="小标宋"/>
          <w:bCs/>
          <w:color w:val="000000" w:themeColor="text1"/>
          <w:kern w:val="0"/>
          <w:sz w:val="32"/>
          <w:szCs w:val="32"/>
          <w:lang w:val="en-US" w:eastAsia="zh-CN"/>
          <w14:textFill>
            <w14:solidFill>
              <w14:schemeClr w14:val="tx1"/>
            </w14:solidFill>
          </w14:textFill>
        </w:rPr>
        <w:t>区域</w:t>
      </w:r>
      <w:r>
        <w:rPr>
          <w:rFonts w:hint="eastAsia" w:ascii="小标宋" w:hAnsi="小标宋" w:eastAsia="小标宋" w:cs="小标宋"/>
          <w:bCs/>
          <w:color w:val="000000" w:themeColor="text1"/>
          <w:kern w:val="0"/>
          <w:sz w:val="32"/>
          <w:szCs w:val="32"/>
          <w14:textFill>
            <w14:solidFill>
              <w14:schemeClr w14:val="tx1"/>
            </w14:solidFill>
          </w14:textFill>
        </w:rPr>
        <w:t>家具采购需求文件</w:t>
      </w:r>
    </w:p>
    <w:p w14:paraId="44B4F212">
      <w:pPr>
        <w:jc w:val="left"/>
        <w:rPr>
          <w:rFonts w:ascii="仿宋_GB2312" w:hAnsi="仿宋_GB2312" w:eastAsia="仿宋_GB2312" w:cs="仿宋_GB2312"/>
          <w:sz w:val="24"/>
        </w:rPr>
      </w:pP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p>
    <w:p w14:paraId="6EAA9C58">
      <w:pPr>
        <w:snapToGrid w:val="0"/>
        <w:spacing w:line="520" w:lineRule="exact"/>
        <w:ind w:firstLine="480" w:firstLineChars="200"/>
        <w:jc w:val="left"/>
        <w:rPr>
          <w:rFonts w:ascii="仿宋_GB2312" w:hAnsi="仿宋_GB2312" w:eastAsia="仿宋_GB2312" w:cs="仿宋_GB2312"/>
          <w:sz w:val="24"/>
          <w:u w:val="single"/>
        </w:rPr>
      </w:pPr>
      <w:r>
        <w:rPr>
          <w:rFonts w:hint="eastAsia" w:ascii="仿宋_GB2312" w:hAnsi="仿宋_GB2312" w:eastAsia="仿宋_GB2312" w:cs="仿宋_GB2312"/>
          <w:sz w:val="24"/>
        </w:rPr>
        <w:t>北京航空航天大学校医院</w:t>
      </w:r>
      <w:r>
        <w:rPr>
          <w:rFonts w:hint="eastAsia" w:ascii="仿宋_GB2312" w:hAnsi="仿宋_GB2312" w:eastAsia="仿宋_GB2312" w:cs="仿宋_GB2312"/>
          <w:sz w:val="24"/>
          <w:u w:val="single"/>
        </w:rPr>
        <w:t xml:space="preserve"> 北三楼</w:t>
      </w:r>
      <w:r>
        <w:rPr>
          <w:rFonts w:hint="eastAsia" w:ascii="仿宋_GB2312" w:hAnsi="仿宋_GB2312" w:eastAsia="仿宋_GB2312" w:cs="仿宋_GB2312"/>
          <w:sz w:val="24"/>
          <w:u w:val="single"/>
          <w:lang w:val="en-US" w:eastAsia="zh-CN"/>
        </w:rPr>
        <w:t>区域</w:t>
      </w:r>
      <w:r>
        <w:rPr>
          <w:rFonts w:hint="eastAsia" w:ascii="仿宋_GB2312" w:hAnsi="仿宋_GB2312" w:eastAsia="仿宋_GB2312" w:cs="仿宋_GB2312"/>
          <w:sz w:val="24"/>
          <w:u w:val="single"/>
        </w:rPr>
        <w:t xml:space="preserve">家具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u w:val="single"/>
        </w:rPr>
        <w:t xml:space="preserve"> 项</w:t>
      </w:r>
      <w:r>
        <w:rPr>
          <w:rFonts w:hint="eastAsia" w:ascii="仿宋_GB2312" w:hAnsi="仿宋_GB2312" w:eastAsia="仿宋_GB2312" w:cs="仿宋_GB2312"/>
          <w:sz w:val="24"/>
        </w:rPr>
        <w:t>目（以下简称“本项目”）已具备采购条件，现邀请有意向且符合条件的供应商参与本项目采购。</w:t>
      </w:r>
    </w:p>
    <w:p w14:paraId="0E2C1D42">
      <w:pPr>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一、采购项目基本情况</w:t>
      </w:r>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0"/>
        <w:gridCol w:w="5314"/>
      </w:tblGrid>
      <w:tr w14:paraId="5596A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9" w:type="pct"/>
            <w:vAlign w:val="center"/>
          </w:tcPr>
          <w:p w14:paraId="7D8A110C">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采购项目名称</w:t>
            </w:r>
          </w:p>
        </w:tc>
        <w:tc>
          <w:tcPr>
            <w:tcW w:w="3121" w:type="pct"/>
            <w:vAlign w:val="center"/>
          </w:tcPr>
          <w:p w14:paraId="07ECCABC">
            <w:pPr>
              <w:jc w:val="center"/>
              <w:rPr>
                <w:rFonts w:ascii="仿宋_GB2312" w:hAnsi="仿宋_GB2312" w:eastAsia="仿宋_GB2312" w:cs="仿宋_GB2312"/>
                <w:sz w:val="24"/>
              </w:rPr>
            </w:pPr>
            <w:r>
              <w:rPr>
                <w:rFonts w:hint="eastAsia" w:ascii="仿宋_GB2312" w:hAnsi="仿宋_GB2312" w:eastAsia="仿宋_GB2312" w:cs="仿宋_GB2312"/>
                <w:sz w:val="24"/>
              </w:rPr>
              <w:t>北航校医院北三楼区域家具采购</w:t>
            </w:r>
          </w:p>
        </w:tc>
      </w:tr>
      <w:tr w14:paraId="75C8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9" w:type="pct"/>
            <w:vAlign w:val="center"/>
          </w:tcPr>
          <w:p w14:paraId="505F5023">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联系人及联系方式</w:t>
            </w:r>
          </w:p>
        </w:tc>
        <w:tc>
          <w:tcPr>
            <w:tcW w:w="3121" w:type="pct"/>
            <w:vAlign w:val="center"/>
          </w:tcPr>
          <w:p w14:paraId="55848A7C">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林老师，</w:t>
            </w:r>
            <w:r>
              <w:rPr>
                <w:rFonts w:ascii="仿宋_GB2312" w:hAnsi="仿宋_GB2312" w:eastAsia="仿宋_GB2312" w:cs="仿宋_GB2312"/>
                <w:sz w:val="24"/>
              </w:rPr>
              <w:t>82317296</w:t>
            </w:r>
          </w:p>
        </w:tc>
      </w:tr>
      <w:tr w14:paraId="624E7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9" w:type="pct"/>
            <w:vAlign w:val="center"/>
          </w:tcPr>
          <w:p w14:paraId="7BAF3C9A">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预算金额（最高限价）</w:t>
            </w:r>
          </w:p>
        </w:tc>
        <w:tc>
          <w:tcPr>
            <w:tcW w:w="3121" w:type="pct"/>
            <w:vAlign w:val="center"/>
          </w:tcPr>
          <w:p w14:paraId="2929595A">
            <w:pPr>
              <w:spacing w:line="520" w:lineRule="exact"/>
              <w:jc w:val="center"/>
              <w:rPr>
                <w:rFonts w:ascii="仿宋_GB2312" w:hAnsi="仿宋_GB2312" w:eastAsia="仿宋_GB2312" w:cs="仿宋_GB2312"/>
                <w:sz w:val="24"/>
              </w:rPr>
            </w:pPr>
            <w:r>
              <w:rPr>
                <w:rFonts w:hint="eastAsia" w:ascii="仿宋_GB2312" w:hAnsi="仿宋_GB2312" w:eastAsia="仿宋_GB2312" w:cs="仿宋_GB2312"/>
                <w:b/>
                <w:bCs/>
                <w:sz w:val="24"/>
                <w:lang w:val="en-US" w:eastAsia="zh-CN"/>
              </w:rPr>
              <w:t>13</w:t>
            </w:r>
            <w:r>
              <w:rPr>
                <w:rFonts w:hint="eastAsia" w:ascii="仿宋_GB2312" w:hAnsi="仿宋_GB2312" w:eastAsia="仿宋_GB2312" w:cs="仿宋_GB2312"/>
                <w:b/>
                <w:bCs/>
                <w:sz w:val="24"/>
              </w:rPr>
              <w:t>（万元）</w:t>
            </w:r>
          </w:p>
        </w:tc>
      </w:tr>
      <w:tr w14:paraId="5E32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879" w:type="pct"/>
            <w:vAlign w:val="center"/>
          </w:tcPr>
          <w:p w14:paraId="19C7BF00">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采购类型</w:t>
            </w:r>
          </w:p>
        </w:tc>
        <w:tc>
          <w:tcPr>
            <w:tcW w:w="3121" w:type="pct"/>
            <w:vAlign w:val="center"/>
          </w:tcPr>
          <w:p w14:paraId="02EA4360">
            <w:pPr>
              <w:spacing w:line="520" w:lineRule="exact"/>
              <w:jc w:val="center"/>
              <w:rPr>
                <w:rFonts w:ascii="仿宋_GB2312" w:hAnsi="仿宋_GB2312" w:eastAsia="仿宋_GB2312" w:cs="仿宋_GB2312"/>
                <w:sz w:val="24"/>
              </w:rPr>
            </w:pPr>
            <w:sdt>
              <w:sdtPr>
                <w:rPr>
                  <w:rFonts w:hint="eastAsia" w:ascii="仿宋_GB2312" w:hAnsi="仿宋_GB2312" w:eastAsia="仿宋_GB2312" w:cs="仿宋_GB2312"/>
                  <w:sz w:val="24"/>
                </w:rPr>
                <w:id w:val="147466906"/>
                <w14:checkbox>
                  <w14:checked w14:val="1"/>
                  <w14:checkedState w14:val="00FE" w14:font="Wingdings"/>
                  <w14:uncheckedState w14:val="2610" w14:font="MS Gothic"/>
                </w14:checkbox>
              </w:sdtPr>
              <w:sdtEndPr>
                <w:rPr>
                  <w:rFonts w:hint="eastAsia" w:ascii="仿宋_GB2312" w:hAnsi="仿宋_GB2312" w:eastAsia="仿宋_GB2312" w:cs="仿宋_GB2312"/>
                  <w:sz w:val="24"/>
                </w:rPr>
              </w:sdtEndPr>
              <w:sdtContent>
                <w:r>
                  <w:rPr>
                    <w:rFonts w:ascii="Wingdings" w:hAnsi="Wingdings" w:eastAsia="MS Gothic" w:cs="仿宋_GB2312"/>
                    <w:sz w:val="24"/>
                  </w:rPr>
                  <w:t></w:t>
                </w:r>
              </w:sdtContent>
            </w:sdt>
            <w:r>
              <w:rPr>
                <w:rFonts w:hint="eastAsia" w:ascii="仿宋_GB2312" w:hAnsi="仿宋_GB2312" w:eastAsia="仿宋_GB2312" w:cs="仿宋_GB2312"/>
                <w:sz w:val="24"/>
              </w:rPr>
              <w:t xml:space="preserve">货物  </w:t>
            </w:r>
            <w:sdt>
              <w:sdtPr>
                <w:rPr>
                  <w:rFonts w:hint="eastAsia" w:ascii="仿宋_GB2312" w:hAnsi="仿宋_GB2312" w:eastAsia="仿宋_GB2312" w:cs="仿宋_GB2312"/>
                  <w:sz w:val="24"/>
                </w:rPr>
                <w:id w:val="147460741"/>
                <w14:checkbox>
                  <w14:checked w14:val="0"/>
                  <w14:checkedState w14:val="00FE" w14:font="Wingdings"/>
                  <w14:uncheckedState w14:val="2610" w14:font="MS Gothic"/>
                </w14:checkbox>
              </w:sdtPr>
              <w:sdtEndPr>
                <w:rPr>
                  <w:rFonts w:hint="eastAsia" w:ascii="仿宋_GB2312" w:hAnsi="仿宋_GB2312" w:eastAsia="仿宋_GB2312" w:cs="仿宋_GB2312"/>
                  <w:sz w:val="24"/>
                </w:rPr>
              </w:sdtEndPr>
              <w:sdtContent>
                <w:r>
                  <w:rPr>
                    <w:rFonts w:hint="eastAsia" w:ascii="MS Gothic" w:hAnsi="MS Gothic" w:eastAsia="仿宋_GB2312" w:cs="仿宋_GB2312"/>
                    <w:sz w:val="24"/>
                  </w:rPr>
                  <w:t>☐</w:t>
                </w:r>
              </w:sdtContent>
            </w:sdt>
            <w:r>
              <w:rPr>
                <w:rFonts w:hint="eastAsia" w:ascii="仿宋_GB2312" w:hAnsi="仿宋_GB2312" w:eastAsia="仿宋_GB2312" w:cs="仿宋_GB2312"/>
                <w:sz w:val="24"/>
              </w:rPr>
              <w:t xml:space="preserve">服务 </w:t>
            </w:r>
            <w:sdt>
              <w:sdtPr>
                <w:rPr>
                  <w:rFonts w:hint="eastAsia" w:ascii="仿宋_GB2312" w:hAnsi="仿宋_GB2312" w:eastAsia="仿宋_GB2312" w:cs="仿宋_GB2312"/>
                  <w:sz w:val="24"/>
                </w:rPr>
                <w:id w:val="147459003"/>
                <w14:checkbox>
                  <w14:checked w14:val="0"/>
                  <w14:checkedState w14:val="00FE" w14:font="Wingdings"/>
                  <w14:uncheckedState w14:val="2610" w14:font="MS Gothic"/>
                </w14:checkbox>
              </w:sdtPr>
              <w:sdtEndPr>
                <w:rPr>
                  <w:rFonts w:hint="eastAsia" w:ascii="仿宋_GB2312" w:hAnsi="仿宋_GB2312" w:eastAsia="仿宋_GB2312" w:cs="仿宋_GB2312"/>
                  <w:sz w:val="24"/>
                </w:rPr>
              </w:sdtEndPr>
              <w:sdtContent>
                <w:r>
                  <w:rPr>
                    <w:rFonts w:hint="eastAsia" w:ascii="MS Gothic" w:hAnsi="MS Gothic" w:eastAsia="仿宋_GB2312" w:cs="仿宋_GB2312"/>
                    <w:sz w:val="24"/>
                  </w:rPr>
                  <w:t>☐</w:t>
                </w:r>
              </w:sdtContent>
            </w:sdt>
            <w:r>
              <w:rPr>
                <w:rFonts w:hint="eastAsia" w:ascii="仿宋_GB2312" w:hAnsi="仿宋_GB2312" w:eastAsia="仿宋_GB2312" w:cs="仿宋_GB2312"/>
                <w:sz w:val="24"/>
              </w:rPr>
              <w:t>工程建设</w:t>
            </w:r>
          </w:p>
        </w:tc>
      </w:tr>
      <w:tr w14:paraId="0EFEE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879" w:type="pct"/>
            <w:vAlign w:val="center"/>
          </w:tcPr>
          <w:p w14:paraId="49787302">
            <w:pPr>
              <w:spacing w:line="520" w:lineRule="exact"/>
              <w:jc w:val="center"/>
              <w:rPr>
                <w:rFonts w:ascii="仿宋" w:hAnsi="仿宋" w:eastAsia="仿宋"/>
                <w:sz w:val="24"/>
              </w:rPr>
            </w:pPr>
            <w:r>
              <w:rPr>
                <w:rFonts w:hint="eastAsia" w:ascii="仿宋_GB2312" w:hAnsi="仿宋_GB2312" w:eastAsia="仿宋_GB2312" w:cs="仿宋_GB2312"/>
                <w:sz w:val="24"/>
              </w:rPr>
              <w:t>采购项目用途</w:t>
            </w:r>
          </w:p>
        </w:tc>
        <w:tc>
          <w:tcPr>
            <w:tcW w:w="3121" w:type="pct"/>
            <w:vAlign w:val="center"/>
          </w:tcPr>
          <w:p w14:paraId="3066DED6">
            <w:pPr>
              <w:jc w:val="left"/>
              <w:rPr>
                <w:rFonts w:ascii="仿宋_GB2312" w:hAnsi="仿宋_GB2312" w:eastAsia="仿宋_GB2312" w:cs="仿宋_GB2312"/>
                <w:sz w:val="24"/>
              </w:rPr>
            </w:pPr>
            <w:r>
              <w:rPr>
                <w:rFonts w:hint="eastAsia" w:ascii="仿宋_GB2312" w:hAnsi="仿宋_GB2312" w:eastAsia="仿宋_GB2312" w:cs="仿宋_GB2312"/>
                <w:sz w:val="24"/>
                <w:lang w:val="en-US" w:eastAsia="zh-CN"/>
              </w:rPr>
              <w:t>采购部分导诊台、沙发、用餐区桌椅等家具用于工作人员有醒目导诊工作区域、查体人员有等候位和用餐位</w:t>
            </w:r>
            <w:r>
              <w:rPr>
                <w:rFonts w:hint="eastAsia" w:ascii="仿宋_GB2312" w:hAnsi="仿宋_GB2312" w:eastAsia="仿宋_GB2312" w:cs="仿宋_GB2312"/>
                <w:sz w:val="24"/>
              </w:rPr>
              <w:t>。</w:t>
            </w:r>
          </w:p>
        </w:tc>
      </w:tr>
    </w:tbl>
    <w:p w14:paraId="573BEC61">
      <w:pPr>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二、采购项目相关要求</w:t>
      </w:r>
    </w:p>
    <w:p w14:paraId="21554E18">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（一）响应供应商资格条件：</w:t>
      </w:r>
    </w:p>
    <w:p w14:paraId="7CCF63E1">
      <w:pPr>
        <w:widowControl/>
        <w:spacing w:line="520" w:lineRule="exact"/>
        <w:ind w:firstLine="480" w:firstLineChars="200"/>
        <w:rPr>
          <w:rFonts w:ascii="仿宋_GB2312" w:hAnsi="仿宋_GB2312" w:eastAsia="仿宋_GB2312" w:cs="仿宋_GB2312"/>
          <w:sz w:val="28"/>
          <w:szCs w:val="28"/>
        </w:rPr>
      </w:pPr>
      <w:r>
        <w:rPr>
          <w:rFonts w:hint="eastAsia" w:ascii="仿宋_GB2312" w:hAnsi="仿宋_GB2312" w:eastAsia="仿宋_GB2312" w:cs="仿宋_GB2312"/>
          <w:sz w:val="24"/>
        </w:rPr>
        <w:t>1、满足《中华人民共和国政府采购法》第二十二条规定；</w:t>
      </w:r>
    </w:p>
    <w:p w14:paraId="5E13D884">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（1）具有独立承担民事责任的能力；</w:t>
      </w:r>
    </w:p>
    <w:p w14:paraId="1407FFE0">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（2）具有良好的商业信誉和健全的财务会计制度；</w:t>
      </w:r>
    </w:p>
    <w:p w14:paraId="2B99AD87">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（3）具有履行合同所必需的设备和专业技术能力；</w:t>
      </w:r>
    </w:p>
    <w:p w14:paraId="70D82DA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（4）有依法缴纳税收和社会保障资金的良好记录；</w:t>
      </w:r>
    </w:p>
    <w:p w14:paraId="1FF09189">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（5）法律、行政法规规定的其他条件。</w:t>
      </w:r>
    </w:p>
    <w:p w14:paraId="3FED4855">
      <w:pPr>
        <w:widowControl/>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2、落实相关政策的资格要求：</w:t>
      </w:r>
    </w:p>
    <w:p w14:paraId="1A7D400C">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参加采购活动前三年内，在经营活动中没有重大违法记录；即本项目响应截止期前被“信用中国”网站列入失信被执行人和重大税收违法案件当事人名单的、被“中国政府采购网”网站列入政府采购严重违法失信行为记录名单的（处罚期限尚未届满的），不得参与本项目的采购活动。</w:t>
      </w:r>
    </w:p>
    <w:p w14:paraId="288A957F">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（2）单位负责人为同一人或者存在直接控股、管理关系的不同供应商，不得同时参加本项目的采购活动。</w:t>
      </w:r>
    </w:p>
    <w:p w14:paraId="0F9EB744">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（3）与采购项目负责人存在利害关系，可能影响采购公平的，不得参加本项目的采购活动。</w:t>
      </w:r>
    </w:p>
    <w:p w14:paraId="65010282">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（4）不允许联合体响应，不接受分包。</w:t>
      </w:r>
    </w:p>
    <w:p w14:paraId="1ED01590">
      <w:pPr>
        <w:widowControl/>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3、满足本采购项目特殊资格条件：所有资格要求均与本项目家具供货、安装、质量保障相匹配。</w:t>
      </w:r>
    </w:p>
    <w:p w14:paraId="7285248B">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（二）评审方法及规则：</w:t>
      </w:r>
    </w:p>
    <w:p w14:paraId="2D4C1914">
      <w:pPr>
        <w:snapToGrid w:val="0"/>
        <w:spacing w:line="520" w:lineRule="exact"/>
        <w:ind w:firstLine="480" w:firstLineChars="200"/>
        <w:rPr>
          <w:rFonts w:ascii="仿宋_GB2312" w:hAnsi="仿宋_GB2312" w:eastAsia="仿宋_GB2312" w:cs="仿宋_GB2312"/>
          <w:sz w:val="24"/>
        </w:rPr>
      </w:pPr>
      <w:sdt>
        <w:sdtPr>
          <w:rPr>
            <w:rFonts w:hint="eastAsia" w:ascii="仿宋_GB2312" w:hAnsi="仿宋_GB2312" w:eastAsia="仿宋_GB2312" w:cs="仿宋_GB2312"/>
            <w:sz w:val="24"/>
          </w:rPr>
          <w:id w:val="147474232"/>
          <w14:checkbox>
            <w14:checked w14:val="1"/>
            <w14:checkedState w14:val="00FE" w14:font="Wingdings"/>
            <w14:uncheckedState w14:val="2610" w14:font="MS Gothic"/>
          </w14:checkbox>
        </w:sdtPr>
        <w:sdtEndPr>
          <w:rPr>
            <w:rFonts w:hint="eastAsia" w:ascii="仿宋_GB2312" w:hAnsi="仿宋_GB2312" w:eastAsia="仿宋_GB2312" w:cs="仿宋_GB2312"/>
            <w:sz w:val="24"/>
          </w:rPr>
        </w:sdtEndPr>
        <w:sdtContent>
          <w:r>
            <w:rPr>
              <w:rFonts w:hint="eastAsia" w:ascii="Wingdings" w:hAnsi="Wingdings" w:eastAsia="仿宋_GB2312" w:cs="仿宋_GB2312"/>
              <w:kern w:val="2"/>
              <w:sz w:val="24"/>
              <w:szCs w:val="24"/>
              <w:lang w:val="en-US" w:eastAsia="zh-CN" w:bidi="ar-SA"/>
            </w:rPr>
            <w:t>þ</w:t>
          </w:r>
        </w:sdtContent>
      </w:sdt>
      <w:r>
        <w:rPr>
          <w:rFonts w:hint="eastAsia" w:ascii="仿宋_GB2312" w:hAnsi="仿宋_GB2312" w:eastAsia="仿宋_GB2312" w:cs="仿宋_GB2312"/>
          <w:sz w:val="24"/>
        </w:rPr>
        <w:t>综合比较：根据报价材料从品牌、参数、价格、性价比、供货时间及售后服务等方面进行综合比较。</w:t>
      </w:r>
    </w:p>
    <w:p w14:paraId="17C5853A">
      <w:pPr>
        <w:snapToGrid w:val="0"/>
        <w:spacing w:line="520" w:lineRule="exact"/>
        <w:ind w:firstLine="480" w:firstLineChars="200"/>
        <w:rPr>
          <w:sz w:val="20"/>
          <w:szCs w:val="22"/>
        </w:rPr>
      </w:pPr>
      <w:sdt>
        <w:sdtPr>
          <w:rPr>
            <w:rFonts w:hint="eastAsia" w:ascii="仿宋_GB2312" w:hAnsi="仿宋_GB2312" w:eastAsia="仿宋_GB2312" w:cs="仿宋_GB2312"/>
            <w:sz w:val="24"/>
          </w:rPr>
          <w:id w:val="147482024"/>
          <w14:checkbox>
            <w14:checked w14:val="0"/>
            <w14:checkedState w14:val="00FE" w14:font="Wingdings"/>
            <w14:uncheckedState w14:val="2610" w14:font="MS Gothic"/>
          </w14:checkbox>
        </w:sdtPr>
        <w:sdtEndPr>
          <w:rPr>
            <w:rFonts w:hint="eastAsia" w:ascii="仿宋_GB2312" w:hAnsi="仿宋_GB2312" w:eastAsia="仿宋_GB2312" w:cs="仿宋_GB2312"/>
            <w:sz w:val="24"/>
          </w:rPr>
        </w:sdtEndPr>
        <w:sdtContent>
          <w:r>
            <w:rPr>
              <w:rFonts w:hint="eastAsia" w:ascii="MS Gothic" w:hAnsi="MS Gothic" w:eastAsia="仿宋_GB2312" w:cs="仿宋_GB2312"/>
              <w:kern w:val="2"/>
              <w:sz w:val="24"/>
              <w:szCs w:val="24"/>
              <w:lang w:val="en-US" w:eastAsia="zh-CN" w:bidi="ar-SA"/>
            </w:rPr>
            <w:t>☐</w:t>
          </w:r>
        </w:sdtContent>
      </w:sdt>
      <w:r>
        <w:rPr>
          <w:rFonts w:hint="eastAsia" w:ascii="仿宋_GB2312" w:hAnsi="仿宋_GB2312" w:eastAsia="仿宋_GB2312" w:cs="仿宋_GB2312"/>
          <w:sz w:val="24"/>
        </w:rPr>
        <w:t>最低价：满足技术指标和商务指标实质性需求前提下，最低价成交。</w:t>
      </w:r>
    </w:p>
    <w:p w14:paraId="067A4DA8">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（三）报名及响应文件递交要求：</w:t>
      </w:r>
    </w:p>
    <w:p w14:paraId="343B62AA">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1、报名方式及截止时间：：</w:t>
      </w:r>
    </w:p>
    <w:p w14:paraId="2847505B">
      <w:pPr>
        <w:pStyle w:val="11"/>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报名方式：按照以下要求准备报名信息发送至邮箱（邮箱：</w:t>
      </w:r>
      <w:r>
        <w:rPr>
          <w:rFonts w:hint="eastAsia" w:ascii="仿宋_GB2312" w:hAnsi="仿宋_GB2312" w:eastAsia="仿宋_GB2312" w:cs="仿宋_GB2312"/>
        </w:rPr>
        <w:t>p00404@buaa.edu.cn，</w:t>
      </w:r>
      <w:r>
        <w:rPr>
          <w:rFonts w:hint="eastAsia" w:ascii="仿宋_GB2312" w:hAnsi="仿宋_GB2312" w:eastAsia="仿宋_GB2312" w:cs="仿宋_GB2312"/>
          <w:color w:val="000000" w:themeColor="text1"/>
          <w:kern w:val="2"/>
          <w14:textFill>
            <w14:solidFill>
              <w14:schemeClr w14:val="tx1"/>
            </w14:solidFill>
          </w14:textFill>
        </w:rPr>
        <w:t>联系电话：</w:t>
      </w:r>
      <w:r>
        <w:rPr>
          <w:rFonts w:ascii="仿宋_GB2312" w:hAnsi="仿宋_GB2312" w:eastAsia="仿宋_GB2312" w:cs="仿宋_GB2312"/>
        </w:rPr>
        <w:t>82317296</w:t>
      </w:r>
      <w:r>
        <w:rPr>
          <w:rFonts w:hint="eastAsia" w:ascii="仿宋_GB2312" w:hAnsi="仿宋_GB2312" w:eastAsia="仿宋_GB2312" w:cs="仿宋_GB2312"/>
        </w:rPr>
        <w:t>，</w:t>
      </w:r>
      <w:r>
        <w:rPr>
          <w:rFonts w:hint="eastAsia" w:ascii="仿宋_GB2312" w:hAnsi="仿宋_GB2312" w:eastAsia="仿宋_GB2312" w:cs="仿宋_GB2312"/>
          <w:color w:val="000000" w:themeColor="text1"/>
          <w:kern w:val="2"/>
          <w14:textFill>
            <w14:solidFill>
              <w14:schemeClr w14:val="tx1"/>
            </w14:solidFill>
          </w14:textFill>
        </w:rPr>
        <w:t>联系人：林老师）</w:t>
      </w:r>
    </w:p>
    <w:p w14:paraId="2E5A0BB6">
      <w:pPr>
        <w:pStyle w:val="11"/>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邮件标题：公司名</w:t>
      </w:r>
      <w:bookmarkStart w:id="1" w:name="_GoBack"/>
      <w:bookmarkEnd w:id="1"/>
      <w:r>
        <w:rPr>
          <w:rFonts w:hint="eastAsia" w:ascii="仿宋_GB2312" w:hAnsi="仿宋_GB2312" w:eastAsia="仿宋_GB2312" w:cs="仿宋_GB2312"/>
          <w:color w:val="000000" w:themeColor="text1"/>
          <w:kern w:val="2"/>
          <w14:textFill>
            <w14:solidFill>
              <w14:schemeClr w14:val="tx1"/>
            </w14:solidFill>
          </w14:textFill>
        </w:rPr>
        <w:t>称+采购项目名称；</w:t>
      </w:r>
    </w:p>
    <w:p w14:paraId="49BB1588">
      <w:pPr>
        <w:pStyle w:val="11"/>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邮件内容：需注明公司名称，地址，销售人员全名及联系方式；</w:t>
      </w:r>
    </w:p>
    <w:p w14:paraId="5A600216">
      <w:pPr>
        <w:pStyle w:val="11"/>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附件应包括：法人营业执照扫描件、法人授权书扫描件（含法人及销售人员身份证扫描件）、相应资质证件（如有）扫描件、等整理为同一个PDF文件发送，不符合要求者不予接收；</w:t>
      </w:r>
    </w:p>
    <w:p w14:paraId="2595C3EE">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报名</w:t>
      </w:r>
      <w:r>
        <w:rPr>
          <w:rFonts w:hint="eastAsia" w:ascii="仿宋_GB2312" w:hAnsi="仿宋_GB2312" w:eastAsia="仿宋_GB2312" w:cs="仿宋_GB2312"/>
          <w:sz w:val="24"/>
        </w:rPr>
        <w:t>截止时间：20</w:t>
      </w:r>
      <w:r>
        <w:rPr>
          <w:rFonts w:ascii="仿宋_GB2312" w:hAnsi="仿宋_GB2312" w:eastAsia="仿宋_GB2312" w:cs="仿宋_GB2312"/>
          <w:sz w:val="24"/>
        </w:rPr>
        <w:t>26</w:t>
      </w:r>
      <w:r>
        <w:rPr>
          <w:rFonts w:hint="eastAsia" w:ascii="仿宋_GB2312" w:hAnsi="仿宋_GB2312" w:eastAsia="仿宋_GB2312" w:cs="仿宋_GB2312"/>
          <w:sz w:val="24"/>
        </w:rPr>
        <w:t>年7月</w:t>
      </w:r>
      <w:r>
        <w:rPr>
          <w:rFonts w:hint="eastAsia" w:ascii="仿宋_GB2312" w:hAnsi="仿宋_GB2312" w:eastAsia="仿宋_GB2312" w:cs="仿宋_GB2312"/>
          <w:sz w:val="24"/>
          <w:lang w:val="en-US" w:eastAsia="zh-CN"/>
        </w:rPr>
        <w:t>20</w:t>
      </w:r>
      <w:r>
        <w:rPr>
          <w:rFonts w:hint="eastAsia" w:ascii="仿宋_GB2312" w:hAnsi="仿宋_GB2312" w:eastAsia="仿宋_GB2312" w:cs="仿宋_GB2312"/>
          <w:sz w:val="24"/>
        </w:rPr>
        <w:t>日</w:t>
      </w:r>
      <w:r>
        <w:rPr>
          <w:rFonts w:hint="eastAsia" w:ascii="仿宋_GB2312" w:hAnsi="仿宋_GB2312" w:eastAsia="仿宋_GB2312" w:cs="仿宋_GB2312"/>
          <w:sz w:val="24"/>
          <w:lang w:val="en-US" w:eastAsia="zh-CN"/>
        </w:rPr>
        <w:t>16</w:t>
      </w:r>
      <w:r>
        <w:rPr>
          <w:rFonts w:hint="eastAsia" w:ascii="仿宋_GB2312" w:hAnsi="仿宋_GB2312" w:eastAsia="仿宋_GB2312" w:cs="仿宋_GB2312"/>
          <w:sz w:val="24"/>
        </w:rPr>
        <w:t>:</w:t>
      </w:r>
      <w:r>
        <w:rPr>
          <w:rFonts w:ascii="仿宋_GB2312" w:hAnsi="仿宋_GB2312" w:eastAsia="仿宋_GB2312" w:cs="仿宋_GB2312"/>
          <w:sz w:val="24"/>
        </w:rPr>
        <w:t>00</w:t>
      </w:r>
      <w:r>
        <w:rPr>
          <w:rFonts w:hint="eastAsia" w:ascii="仿宋_GB2312" w:hAnsi="仿宋_GB2312" w:eastAsia="仿宋_GB2312" w:cs="仿宋_GB2312"/>
          <w:sz w:val="24"/>
        </w:rPr>
        <w:t>，逾期递交</w:t>
      </w:r>
      <w:r>
        <w:rPr>
          <w:rFonts w:hint="eastAsia" w:ascii="仿宋_GB2312" w:hAnsi="仿宋_GB2312" w:eastAsia="仿宋_GB2312" w:cs="仿宋_GB2312"/>
          <w:color w:val="000000" w:themeColor="text1"/>
          <w:sz w:val="24"/>
          <w14:textFill>
            <w14:solidFill>
              <w14:schemeClr w14:val="tx1"/>
            </w14:solidFill>
          </w14:textFill>
        </w:rPr>
        <w:t>的报名文件恕不接受。</w:t>
      </w:r>
    </w:p>
    <w:p w14:paraId="202D3B93">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2、响应文件递交方式：</w:t>
      </w:r>
    </w:p>
    <w:p w14:paraId="18DFB123">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竞价会时间确定后，我单位会以邮件及电话形式通知到各个响应供应商。请将纸质版响应文件（正本</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ascii="仿宋_GB2312" w:hAnsi="仿宋_GB2312" w:eastAsia="仿宋_GB2312" w:cs="仿宋_GB2312"/>
          <w:color w:val="000000" w:themeColor="text1"/>
          <w:sz w:val="24"/>
          <w:u w:val="single"/>
          <w14:textFill>
            <w14:solidFill>
              <w14:schemeClr w14:val="tx1"/>
            </w14:solidFill>
          </w14:textFill>
        </w:rPr>
        <w:t>1</w:t>
      </w:r>
      <w:r>
        <w:rPr>
          <w:rFonts w:hint="eastAsia" w:ascii="仿宋_GB2312" w:hAnsi="仿宋_GB2312" w:eastAsia="仿宋_GB2312" w:cs="仿宋_GB2312"/>
          <w:color w:val="000000" w:themeColor="text1"/>
          <w:sz w:val="24"/>
          <w14:textFill>
            <w14:solidFill>
              <w14:schemeClr w14:val="tx1"/>
            </w14:solidFill>
          </w14:textFill>
        </w:rPr>
        <w:t>份，副本</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ascii="仿宋_GB2312" w:hAnsi="仿宋_GB2312" w:eastAsia="仿宋_GB2312" w:cs="仿宋_GB2312"/>
          <w:color w:val="000000" w:themeColor="text1"/>
          <w:sz w:val="24"/>
          <w:u w:val="single"/>
          <w14:textFill>
            <w14:solidFill>
              <w14:schemeClr w14:val="tx1"/>
            </w14:solidFill>
          </w14:textFill>
        </w:rPr>
        <w:t>1</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份）在截止时间之前邮寄/提交至</w:t>
      </w:r>
      <w:r>
        <w:rPr>
          <w:rFonts w:hint="eastAsia" w:ascii="仿宋_GB2312" w:hAnsi="仿宋_GB2312" w:eastAsia="仿宋_GB2312" w:cs="仿宋_GB2312"/>
          <w:color w:val="000000" w:themeColor="text1"/>
          <w:sz w:val="24"/>
          <w:u w:val="single"/>
          <w14:textFill>
            <w14:solidFill>
              <w14:schemeClr w14:val="tx1"/>
            </w14:solidFill>
          </w14:textFill>
        </w:rPr>
        <w:t xml:space="preserve"> 北京海淀区学院路37号北航校医院   </w:t>
      </w:r>
      <w:r>
        <w:rPr>
          <w:rFonts w:hint="eastAsia" w:ascii="仿宋_GB2312" w:hAnsi="仿宋_GB2312" w:eastAsia="仿宋_GB2312" w:cs="仿宋_GB2312"/>
          <w:color w:val="000000" w:themeColor="text1"/>
          <w:sz w:val="24"/>
          <w14:textFill>
            <w14:solidFill>
              <w14:schemeClr w14:val="tx1"/>
            </w14:solidFill>
          </w14:textFill>
        </w:rPr>
        <w:t>。</w:t>
      </w:r>
    </w:p>
    <w:p w14:paraId="3CD3129C">
      <w:pPr>
        <w:snapToGrid w:val="0"/>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三、采购项目需实现的功能和目标：</w:t>
      </w:r>
    </w:p>
    <w:p w14:paraId="5ACED22B">
      <w:pPr>
        <w:spacing w:line="520" w:lineRule="exact"/>
        <w:ind w:firstLine="480" w:firstLineChars="200"/>
      </w:pPr>
      <w:r>
        <w:rPr>
          <w:rFonts w:hint="eastAsia" w:ascii="仿宋_GB2312" w:hAnsi="仿宋_GB2312" w:eastAsia="仿宋_GB2312" w:cs="仿宋_GB2312"/>
          <w:sz w:val="24"/>
          <w:lang w:val="en-US" w:eastAsia="zh-CN"/>
        </w:rPr>
        <w:t>采购家具将实现</w:t>
      </w:r>
      <w:r>
        <w:rPr>
          <w:rFonts w:hint="eastAsia" w:ascii="仿宋_GB2312" w:hAnsi="仿宋_GB2312" w:eastAsia="仿宋_GB2312" w:cs="仿宋_GB2312"/>
          <w:sz w:val="24"/>
        </w:rPr>
        <w:t>安全舒适、整洁易维护</w:t>
      </w:r>
      <w:r>
        <w:rPr>
          <w:rFonts w:hint="eastAsia" w:ascii="仿宋_GB2312" w:hAnsi="仿宋_GB2312" w:eastAsia="仿宋_GB2312" w:cs="仿宋_GB2312"/>
          <w:sz w:val="24"/>
          <w:lang w:val="en-US" w:eastAsia="zh-CN"/>
        </w:rPr>
        <w:t>耐磨</w:t>
      </w:r>
      <w:r>
        <w:rPr>
          <w:rFonts w:hint="eastAsia" w:ascii="仿宋_GB2312" w:hAnsi="仿宋_GB2312" w:eastAsia="仿宋_GB2312" w:cs="仿宋_GB2312"/>
          <w:sz w:val="24"/>
        </w:rPr>
        <w:t>、适配</w:t>
      </w:r>
      <w:r>
        <w:rPr>
          <w:rFonts w:hint="eastAsia" w:ascii="仿宋_GB2312" w:hAnsi="仿宋_GB2312" w:eastAsia="仿宋_GB2312" w:cs="仿宋_GB2312"/>
          <w:sz w:val="24"/>
          <w:lang w:val="en-US" w:eastAsia="zh-CN"/>
        </w:rPr>
        <w:t>查体的</w:t>
      </w:r>
      <w:r>
        <w:rPr>
          <w:rFonts w:hint="eastAsia" w:ascii="仿宋_GB2312" w:hAnsi="仿宋_GB2312" w:eastAsia="仿宋_GB2312" w:cs="仿宋_GB2312"/>
          <w:sz w:val="24"/>
        </w:rPr>
        <w:t>场景、满足</w:t>
      </w:r>
      <w:r>
        <w:rPr>
          <w:rFonts w:hint="eastAsia" w:ascii="仿宋_GB2312" w:hAnsi="仿宋_GB2312" w:eastAsia="仿宋_GB2312" w:cs="仿宋_GB2312"/>
          <w:sz w:val="24"/>
          <w:lang w:val="en-US" w:eastAsia="zh-CN"/>
        </w:rPr>
        <w:t>查体人员在</w:t>
      </w:r>
      <w:r>
        <w:rPr>
          <w:rFonts w:hint="eastAsia" w:ascii="仿宋_GB2312" w:hAnsi="仿宋_GB2312" w:eastAsia="仿宋_GB2312" w:cs="仿宋_GB2312"/>
          <w:sz w:val="24"/>
        </w:rPr>
        <w:t>项目排队间隙临时落座休息</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也有利于分散人流；</w:t>
      </w:r>
      <w:r>
        <w:rPr>
          <w:rFonts w:hint="eastAsia" w:ascii="仿宋_GB2312" w:hAnsi="仿宋_GB2312" w:eastAsia="仿宋_GB2312" w:cs="仿宋_GB2312"/>
          <w:sz w:val="24"/>
        </w:rPr>
        <w:t>简餐就餐空间家具易擦拭消毒</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可实现</w:t>
      </w:r>
      <w:r>
        <w:rPr>
          <w:rFonts w:hint="eastAsia" w:ascii="仿宋_GB2312" w:hAnsi="仿宋_GB2312" w:eastAsia="仿宋_GB2312" w:cs="仿宋_GB2312"/>
          <w:sz w:val="24"/>
        </w:rPr>
        <w:t>单人 / 双人、多人组合搭配</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满足体检客流等候、休息、就餐需求。</w:t>
      </w:r>
    </w:p>
    <w:p w14:paraId="12486D25">
      <w:pPr>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四、采购标的汇总表</w:t>
      </w:r>
    </w:p>
    <w:tbl>
      <w:tblPr>
        <w:tblStyle w:val="14"/>
        <w:tblW w:w="50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2771"/>
        <w:gridCol w:w="962"/>
        <w:gridCol w:w="1014"/>
        <w:gridCol w:w="1690"/>
        <w:gridCol w:w="1272"/>
      </w:tblGrid>
      <w:tr w14:paraId="7C4E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445" w:type="pct"/>
            <w:shd w:val="clear" w:color="auto" w:fill="FFFFFF"/>
            <w:tcMar>
              <w:top w:w="0" w:type="dxa"/>
              <w:right w:w="0" w:type="dxa"/>
            </w:tcMar>
            <w:vAlign w:val="center"/>
          </w:tcPr>
          <w:p w14:paraId="5FE12E7F">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序号</w:t>
            </w:r>
          </w:p>
        </w:tc>
        <w:tc>
          <w:tcPr>
            <w:tcW w:w="1637" w:type="pct"/>
            <w:shd w:val="clear" w:color="auto" w:fill="FFFFFF"/>
            <w:tcMar>
              <w:top w:w="0" w:type="dxa"/>
              <w:right w:w="0" w:type="dxa"/>
            </w:tcMar>
            <w:vAlign w:val="center"/>
          </w:tcPr>
          <w:p w14:paraId="55FF97B0">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采购标的名称</w:t>
            </w:r>
          </w:p>
        </w:tc>
        <w:tc>
          <w:tcPr>
            <w:tcW w:w="568" w:type="pct"/>
            <w:shd w:val="clear" w:color="auto" w:fill="FFFFFF"/>
            <w:vAlign w:val="center"/>
          </w:tcPr>
          <w:p w14:paraId="6A65758F">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数量</w:t>
            </w:r>
          </w:p>
        </w:tc>
        <w:tc>
          <w:tcPr>
            <w:tcW w:w="599" w:type="pct"/>
            <w:shd w:val="clear" w:color="auto" w:fill="FFFFFF"/>
            <w:tcMar>
              <w:top w:w="0" w:type="dxa"/>
              <w:right w:w="0" w:type="dxa"/>
            </w:tcMar>
            <w:vAlign w:val="center"/>
          </w:tcPr>
          <w:p w14:paraId="68F0FCBC">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单位</w:t>
            </w:r>
          </w:p>
        </w:tc>
        <w:tc>
          <w:tcPr>
            <w:tcW w:w="998" w:type="pct"/>
            <w:shd w:val="clear" w:color="auto" w:fill="FFFFFF"/>
            <w:vAlign w:val="center"/>
          </w:tcPr>
          <w:p w14:paraId="0F812E9E">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预算金额</w:t>
            </w:r>
          </w:p>
          <w:p w14:paraId="11952921">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sz w:val="24"/>
              </w:rPr>
              <w:t>（万元）</w:t>
            </w:r>
          </w:p>
        </w:tc>
        <w:tc>
          <w:tcPr>
            <w:tcW w:w="751" w:type="pct"/>
            <w:shd w:val="clear" w:color="auto" w:fill="FFFFFF"/>
            <w:tcMar>
              <w:top w:w="0" w:type="dxa"/>
              <w:right w:w="0" w:type="dxa"/>
            </w:tcMar>
            <w:vAlign w:val="center"/>
          </w:tcPr>
          <w:p w14:paraId="02E99E28">
            <w:pPr>
              <w:keepNext w:val="0"/>
              <w:keepLines w:val="0"/>
              <w:pageBreakBefore w:val="0"/>
              <w:kinsoku/>
              <w:wordWrap/>
              <w:overflowPunct/>
              <w:topLinePunct w:val="0"/>
              <w:autoSpaceDE w:val="0"/>
              <w:autoSpaceDN w:val="0"/>
              <w:bidi w:val="0"/>
              <w:adjustRightInd w:val="0"/>
              <w:snapToGrid w:val="0"/>
              <w:spacing w:line="240" w:lineRule="auto"/>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是否接受进口产品</w:t>
            </w:r>
          </w:p>
        </w:tc>
      </w:tr>
      <w:tr w14:paraId="25B5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445" w:type="pct"/>
            <w:shd w:val="clear" w:color="auto" w:fill="FFFFFF"/>
            <w:tcMar>
              <w:top w:w="0" w:type="dxa"/>
              <w:right w:w="0" w:type="dxa"/>
            </w:tcMar>
            <w:vAlign w:val="center"/>
          </w:tcPr>
          <w:p w14:paraId="5BC2C3A6">
            <w:pPr>
              <w:keepNext w:val="0"/>
              <w:keepLines w:val="0"/>
              <w:widowControl/>
              <w:suppressLineNumbers w:val="0"/>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1637" w:type="pct"/>
            <w:shd w:val="clear" w:color="auto" w:fill="FFFFFF"/>
            <w:tcMar>
              <w:top w:w="0" w:type="dxa"/>
              <w:right w:w="0" w:type="dxa"/>
            </w:tcMar>
            <w:vAlign w:val="center"/>
          </w:tcPr>
          <w:p w14:paraId="337A12CA">
            <w:pPr>
              <w:keepNext w:val="0"/>
              <w:keepLines w:val="0"/>
              <w:widowControl/>
              <w:suppressLineNumbers w:val="0"/>
              <w:jc w:val="center"/>
              <w:textAlignment w:val="center"/>
              <w:rPr>
                <w:rFonts w:hint="eastAsia" w:ascii="仿宋_GB2312" w:hAnsi="仿宋_GB2312" w:eastAsia="仿宋_GB2312" w:cs="仿宋_GB2312"/>
                <w:color w:val="000000" w:themeColor="text1"/>
                <w:kern w:val="2"/>
                <w:sz w:val="22"/>
                <w:szCs w:val="28"/>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休闲沙发</w:t>
            </w:r>
          </w:p>
        </w:tc>
        <w:tc>
          <w:tcPr>
            <w:tcW w:w="568" w:type="pct"/>
            <w:shd w:val="clear" w:color="auto" w:fill="FFFFFF"/>
            <w:vAlign w:val="center"/>
          </w:tcPr>
          <w:p w14:paraId="0D9DD996">
            <w:pPr>
              <w:keepNext w:val="0"/>
              <w:keepLines w:val="0"/>
              <w:widowControl/>
              <w:suppressLineNumbers w:val="0"/>
              <w:jc w:val="center"/>
              <w:textAlignment w:val="center"/>
              <w:rPr>
                <w:rFonts w:hint="eastAsia" w:ascii="仿宋_GB2312" w:hAnsi="仿宋_GB2312" w:eastAsia="仿宋_GB2312" w:cs="仿宋_GB2312"/>
                <w:color w:val="000000" w:themeColor="text1"/>
                <w:kern w:val="2"/>
                <w:sz w:val="22"/>
                <w:szCs w:val="28"/>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60</w:t>
            </w:r>
          </w:p>
        </w:tc>
        <w:tc>
          <w:tcPr>
            <w:tcW w:w="599" w:type="pct"/>
            <w:shd w:val="clear" w:color="auto" w:fill="FFFFFF"/>
            <w:tcMar>
              <w:top w:w="0" w:type="dxa"/>
              <w:right w:w="0" w:type="dxa"/>
            </w:tcMar>
            <w:vAlign w:val="center"/>
          </w:tcPr>
          <w:p w14:paraId="62CFBA29">
            <w:pPr>
              <w:keepNext w:val="0"/>
              <w:keepLines w:val="0"/>
              <w:widowControl/>
              <w:suppressLineNumbers w:val="0"/>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个</w:t>
            </w:r>
          </w:p>
        </w:tc>
        <w:tc>
          <w:tcPr>
            <w:tcW w:w="998" w:type="pct"/>
            <w:vMerge w:val="restart"/>
            <w:shd w:val="clear" w:color="auto" w:fill="FFFFFF"/>
            <w:vAlign w:val="center"/>
          </w:tcPr>
          <w:p w14:paraId="66A03D0B">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sz w:val="24"/>
              </w:rPr>
            </w:pPr>
            <w:r>
              <w:rPr>
                <w:rFonts w:hint="eastAsia" w:ascii="仿宋_GB2312" w:hAnsi="仿宋_GB2312" w:eastAsia="仿宋_GB2312" w:cs="仿宋_GB2312"/>
                <w:kern w:val="0"/>
                <w:sz w:val="24"/>
                <w:lang w:val="en-US" w:eastAsia="zh-CN"/>
              </w:rPr>
              <w:t>13</w:t>
            </w:r>
            <w:r>
              <w:rPr>
                <w:rFonts w:hint="eastAsia" w:ascii="仿宋_GB2312" w:hAnsi="仿宋_GB2312" w:eastAsia="仿宋_GB2312" w:cs="仿宋_GB2312"/>
                <w:kern w:val="0"/>
                <w:sz w:val="24"/>
              </w:rPr>
              <w:t>（含</w:t>
            </w:r>
            <w:r>
              <w:rPr>
                <w:rFonts w:hint="eastAsia" w:ascii="仿宋_GB2312" w:hAnsi="仿宋_GB2312" w:eastAsia="仿宋_GB2312" w:cs="仿宋_GB2312"/>
                <w:kern w:val="0"/>
                <w:sz w:val="24"/>
                <w:lang w:val="en-US" w:eastAsia="zh-CN"/>
              </w:rPr>
              <w:t>运输、现场安装、包装垃圾清运等</w:t>
            </w:r>
            <w:r>
              <w:rPr>
                <w:rFonts w:hint="eastAsia" w:ascii="仿宋_GB2312" w:hAnsi="仿宋_GB2312" w:eastAsia="仿宋_GB2312" w:cs="仿宋_GB2312"/>
                <w:kern w:val="0"/>
                <w:sz w:val="24"/>
              </w:rPr>
              <w:t>）</w:t>
            </w:r>
          </w:p>
        </w:tc>
        <w:tc>
          <w:tcPr>
            <w:tcW w:w="751" w:type="pct"/>
            <w:vMerge w:val="restart"/>
            <w:shd w:val="clear" w:color="auto" w:fill="FFFFFF"/>
            <w:tcMar>
              <w:top w:w="0" w:type="dxa"/>
              <w:right w:w="0" w:type="dxa"/>
            </w:tcMar>
            <w:vAlign w:val="center"/>
          </w:tcPr>
          <w:p w14:paraId="534E561E">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kern w:val="0"/>
                <w:sz w:val="24"/>
              </w:rPr>
              <w:t>否</w:t>
            </w:r>
          </w:p>
        </w:tc>
      </w:tr>
      <w:tr w14:paraId="69FB8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445" w:type="pct"/>
            <w:shd w:val="clear" w:color="auto" w:fill="FFFFFF"/>
            <w:tcMar>
              <w:top w:w="0" w:type="dxa"/>
              <w:right w:w="0" w:type="dxa"/>
            </w:tcMar>
            <w:vAlign w:val="center"/>
          </w:tcPr>
          <w:p w14:paraId="6E37D28F">
            <w:pPr>
              <w:keepNext w:val="0"/>
              <w:keepLines w:val="0"/>
              <w:widowControl/>
              <w:suppressLineNumbers w:val="0"/>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2</w:t>
            </w:r>
          </w:p>
        </w:tc>
        <w:tc>
          <w:tcPr>
            <w:tcW w:w="1637" w:type="pct"/>
            <w:shd w:val="clear" w:color="auto" w:fill="FFFFFF"/>
            <w:tcMar>
              <w:top w:w="0" w:type="dxa"/>
              <w:right w:w="0" w:type="dxa"/>
            </w:tcMar>
            <w:vAlign w:val="center"/>
          </w:tcPr>
          <w:p w14:paraId="5C42C66C">
            <w:pPr>
              <w:keepNext w:val="0"/>
              <w:keepLines w:val="0"/>
              <w:widowControl/>
              <w:suppressLineNumbers w:val="0"/>
              <w:jc w:val="center"/>
              <w:textAlignment w:val="center"/>
              <w:rPr>
                <w:rFonts w:hint="eastAsia" w:ascii="仿宋_GB2312" w:hAnsi="仿宋_GB2312" w:eastAsia="仿宋_GB2312" w:cs="仿宋_GB2312"/>
                <w:color w:val="000000" w:themeColor="text1"/>
                <w:kern w:val="2"/>
                <w:sz w:val="22"/>
                <w:szCs w:val="28"/>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单人沙发</w:t>
            </w:r>
          </w:p>
        </w:tc>
        <w:tc>
          <w:tcPr>
            <w:tcW w:w="568" w:type="pct"/>
            <w:shd w:val="clear" w:color="auto" w:fill="FFFFFF"/>
            <w:vAlign w:val="center"/>
          </w:tcPr>
          <w:p w14:paraId="4F1F7868">
            <w:pPr>
              <w:keepNext w:val="0"/>
              <w:keepLines w:val="0"/>
              <w:widowControl/>
              <w:suppressLineNumbers w:val="0"/>
              <w:jc w:val="center"/>
              <w:textAlignment w:val="center"/>
              <w:rPr>
                <w:rFonts w:hint="eastAsia" w:ascii="仿宋_GB2312" w:hAnsi="仿宋_GB2312" w:eastAsia="仿宋_GB2312" w:cs="仿宋_GB2312"/>
                <w:color w:val="000000" w:themeColor="text1"/>
                <w:kern w:val="2"/>
                <w:sz w:val="22"/>
                <w:szCs w:val="28"/>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3</w:t>
            </w:r>
          </w:p>
        </w:tc>
        <w:tc>
          <w:tcPr>
            <w:tcW w:w="599" w:type="pct"/>
            <w:shd w:val="clear" w:color="auto" w:fill="FFFFFF"/>
            <w:tcMar>
              <w:top w:w="0" w:type="dxa"/>
              <w:right w:w="0" w:type="dxa"/>
            </w:tcMar>
            <w:vAlign w:val="center"/>
          </w:tcPr>
          <w:p w14:paraId="01CF6CB2">
            <w:pPr>
              <w:keepNext w:val="0"/>
              <w:keepLines w:val="0"/>
              <w:widowControl/>
              <w:suppressLineNumbers w:val="0"/>
              <w:jc w:val="center"/>
              <w:textAlignment w:val="center"/>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个</w:t>
            </w:r>
          </w:p>
        </w:tc>
        <w:tc>
          <w:tcPr>
            <w:tcW w:w="998" w:type="pct"/>
            <w:vMerge w:val="continue"/>
            <w:shd w:val="clear" w:color="auto" w:fill="FFFFFF"/>
            <w:vAlign w:val="center"/>
          </w:tcPr>
          <w:p w14:paraId="54516E8C">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sz w:val="24"/>
              </w:rPr>
            </w:pPr>
          </w:p>
        </w:tc>
        <w:tc>
          <w:tcPr>
            <w:tcW w:w="751" w:type="pct"/>
            <w:vMerge w:val="continue"/>
            <w:shd w:val="clear" w:color="auto" w:fill="FFFFFF"/>
            <w:tcMar>
              <w:top w:w="0" w:type="dxa"/>
              <w:right w:w="0" w:type="dxa"/>
            </w:tcMar>
            <w:vAlign w:val="center"/>
          </w:tcPr>
          <w:p w14:paraId="3EA7733B">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p>
        </w:tc>
      </w:tr>
      <w:tr w14:paraId="77D53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445" w:type="pct"/>
            <w:shd w:val="clear" w:color="auto" w:fill="FFFFFF"/>
            <w:tcMar>
              <w:top w:w="0" w:type="dxa"/>
              <w:right w:w="0" w:type="dxa"/>
            </w:tcMar>
            <w:vAlign w:val="center"/>
          </w:tcPr>
          <w:p w14:paraId="1E62A374">
            <w:pPr>
              <w:keepNext w:val="0"/>
              <w:keepLines w:val="0"/>
              <w:widowControl/>
              <w:suppressLineNumbers w:val="0"/>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i w:val="0"/>
                <w:iCs w:val="0"/>
                <w:color w:val="000000"/>
                <w:kern w:val="0"/>
                <w:sz w:val="22"/>
                <w:szCs w:val="22"/>
                <w:u w:val="none"/>
                <w:lang w:val="en-US" w:eastAsia="zh-CN" w:bidi="ar"/>
              </w:rPr>
              <w:t>3</w:t>
            </w:r>
          </w:p>
        </w:tc>
        <w:tc>
          <w:tcPr>
            <w:tcW w:w="1637" w:type="pct"/>
            <w:shd w:val="clear" w:color="auto" w:fill="FFFFFF"/>
            <w:tcMar>
              <w:top w:w="0" w:type="dxa"/>
              <w:right w:w="0" w:type="dxa"/>
            </w:tcMar>
            <w:vAlign w:val="center"/>
          </w:tcPr>
          <w:p w14:paraId="7961A0D7">
            <w:pPr>
              <w:keepNext w:val="0"/>
              <w:keepLines w:val="0"/>
              <w:widowControl/>
              <w:suppressLineNumbers w:val="0"/>
              <w:jc w:val="center"/>
              <w:textAlignment w:val="center"/>
              <w:rPr>
                <w:rFonts w:hint="eastAsia" w:ascii="仿宋_GB2312" w:hAnsi="仿宋_GB2312" w:eastAsia="仿宋_GB2312" w:cs="仿宋_GB2312"/>
                <w:color w:val="000000" w:themeColor="text1"/>
                <w:kern w:val="2"/>
                <w:sz w:val="22"/>
                <w:szCs w:val="28"/>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三人沙发</w:t>
            </w:r>
          </w:p>
        </w:tc>
        <w:tc>
          <w:tcPr>
            <w:tcW w:w="568" w:type="pct"/>
            <w:shd w:val="clear" w:color="auto" w:fill="FFFFFF"/>
            <w:vAlign w:val="center"/>
          </w:tcPr>
          <w:p w14:paraId="0278AEAE">
            <w:pPr>
              <w:keepNext w:val="0"/>
              <w:keepLines w:val="0"/>
              <w:widowControl/>
              <w:suppressLineNumbers w:val="0"/>
              <w:jc w:val="center"/>
              <w:textAlignment w:val="center"/>
              <w:rPr>
                <w:rFonts w:hint="eastAsia" w:ascii="仿宋_GB2312" w:hAnsi="仿宋_GB2312" w:eastAsia="仿宋_GB2312" w:cs="仿宋_GB2312"/>
                <w:color w:val="000000" w:themeColor="text1"/>
                <w:kern w:val="2"/>
                <w:sz w:val="22"/>
                <w:szCs w:val="28"/>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599" w:type="pct"/>
            <w:shd w:val="clear" w:color="auto" w:fill="FFFFFF"/>
            <w:tcMar>
              <w:top w:w="0" w:type="dxa"/>
              <w:right w:w="0" w:type="dxa"/>
            </w:tcMar>
            <w:vAlign w:val="center"/>
          </w:tcPr>
          <w:p w14:paraId="1EF9716F">
            <w:pPr>
              <w:keepNext w:val="0"/>
              <w:keepLines w:val="0"/>
              <w:widowControl/>
              <w:suppressLineNumbers w:val="0"/>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i w:val="0"/>
                <w:iCs w:val="0"/>
                <w:color w:val="000000"/>
                <w:kern w:val="0"/>
                <w:sz w:val="22"/>
                <w:szCs w:val="22"/>
                <w:u w:val="none"/>
                <w:lang w:val="en-US" w:eastAsia="zh-CN" w:bidi="ar"/>
              </w:rPr>
              <w:t>个</w:t>
            </w:r>
          </w:p>
        </w:tc>
        <w:tc>
          <w:tcPr>
            <w:tcW w:w="998" w:type="pct"/>
            <w:vMerge w:val="continue"/>
            <w:shd w:val="clear" w:color="auto" w:fill="FFFFFF"/>
            <w:vAlign w:val="center"/>
          </w:tcPr>
          <w:p w14:paraId="56009269">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c>
          <w:tcPr>
            <w:tcW w:w="751" w:type="pct"/>
            <w:vMerge w:val="continue"/>
            <w:shd w:val="clear" w:color="auto" w:fill="FFFFFF"/>
            <w:tcMar>
              <w:top w:w="0" w:type="dxa"/>
              <w:right w:w="0" w:type="dxa"/>
            </w:tcMar>
            <w:vAlign w:val="center"/>
          </w:tcPr>
          <w:p w14:paraId="24569BB8">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r>
      <w:tr w14:paraId="628A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445" w:type="pct"/>
            <w:shd w:val="clear" w:color="auto" w:fill="FFFFFF"/>
            <w:tcMar>
              <w:top w:w="0" w:type="dxa"/>
              <w:right w:w="0" w:type="dxa"/>
            </w:tcMar>
            <w:vAlign w:val="center"/>
          </w:tcPr>
          <w:p w14:paraId="01FCC1E4">
            <w:pPr>
              <w:keepNext w:val="0"/>
              <w:keepLines w:val="0"/>
              <w:widowControl/>
              <w:suppressLineNumbers w:val="0"/>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i w:val="0"/>
                <w:iCs w:val="0"/>
                <w:color w:val="000000"/>
                <w:kern w:val="0"/>
                <w:sz w:val="22"/>
                <w:szCs w:val="22"/>
                <w:u w:val="none"/>
                <w:lang w:val="en-US" w:eastAsia="zh-CN" w:bidi="ar"/>
              </w:rPr>
              <w:t>4</w:t>
            </w:r>
          </w:p>
        </w:tc>
        <w:tc>
          <w:tcPr>
            <w:tcW w:w="1637" w:type="pct"/>
            <w:shd w:val="clear" w:color="auto" w:fill="FFFFFF"/>
            <w:tcMar>
              <w:top w:w="0" w:type="dxa"/>
              <w:right w:w="0" w:type="dxa"/>
            </w:tcMar>
            <w:vAlign w:val="center"/>
          </w:tcPr>
          <w:p w14:paraId="39A7DC06">
            <w:pPr>
              <w:keepNext w:val="0"/>
              <w:keepLines w:val="0"/>
              <w:widowControl/>
              <w:suppressLineNumbers w:val="0"/>
              <w:jc w:val="center"/>
              <w:textAlignment w:val="center"/>
              <w:rPr>
                <w:rFonts w:hint="eastAsia" w:ascii="仿宋_GB2312" w:hAnsi="仿宋_GB2312" w:eastAsia="仿宋_GB2312" w:cs="仿宋_GB2312"/>
                <w:color w:val="000000" w:themeColor="text1"/>
                <w:kern w:val="2"/>
                <w:sz w:val="22"/>
                <w:szCs w:val="28"/>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大茶几</w:t>
            </w:r>
          </w:p>
        </w:tc>
        <w:tc>
          <w:tcPr>
            <w:tcW w:w="568" w:type="pct"/>
            <w:shd w:val="clear" w:color="auto" w:fill="FFFFFF"/>
            <w:vAlign w:val="center"/>
          </w:tcPr>
          <w:p w14:paraId="5B47B9FE">
            <w:pPr>
              <w:keepNext w:val="0"/>
              <w:keepLines w:val="0"/>
              <w:widowControl/>
              <w:suppressLineNumbers w:val="0"/>
              <w:jc w:val="center"/>
              <w:textAlignment w:val="center"/>
              <w:rPr>
                <w:rFonts w:hint="eastAsia" w:ascii="仿宋_GB2312" w:hAnsi="仿宋_GB2312" w:eastAsia="仿宋_GB2312" w:cs="仿宋_GB2312"/>
                <w:color w:val="000000" w:themeColor="text1"/>
                <w:kern w:val="2"/>
                <w:sz w:val="22"/>
                <w:szCs w:val="28"/>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599" w:type="pct"/>
            <w:shd w:val="clear" w:color="auto" w:fill="FFFFFF"/>
            <w:tcMar>
              <w:top w:w="0" w:type="dxa"/>
              <w:right w:w="0" w:type="dxa"/>
            </w:tcMar>
            <w:vAlign w:val="center"/>
          </w:tcPr>
          <w:p w14:paraId="38A5A98C">
            <w:pPr>
              <w:keepNext w:val="0"/>
              <w:keepLines w:val="0"/>
              <w:widowControl/>
              <w:suppressLineNumbers w:val="0"/>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i w:val="0"/>
                <w:iCs w:val="0"/>
                <w:color w:val="000000"/>
                <w:kern w:val="0"/>
                <w:sz w:val="22"/>
                <w:szCs w:val="22"/>
                <w:u w:val="none"/>
                <w:lang w:val="en-US" w:eastAsia="zh-CN" w:bidi="ar"/>
              </w:rPr>
              <w:t>套</w:t>
            </w:r>
          </w:p>
        </w:tc>
        <w:tc>
          <w:tcPr>
            <w:tcW w:w="998" w:type="pct"/>
            <w:vMerge w:val="continue"/>
            <w:shd w:val="clear" w:color="auto" w:fill="FFFFFF"/>
            <w:vAlign w:val="center"/>
          </w:tcPr>
          <w:p w14:paraId="4EC1A3D9">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c>
          <w:tcPr>
            <w:tcW w:w="751" w:type="pct"/>
            <w:vMerge w:val="continue"/>
            <w:shd w:val="clear" w:color="auto" w:fill="FFFFFF"/>
            <w:tcMar>
              <w:top w:w="0" w:type="dxa"/>
              <w:right w:w="0" w:type="dxa"/>
            </w:tcMar>
            <w:vAlign w:val="center"/>
          </w:tcPr>
          <w:p w14:paraId="1F23FE64">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r>
      <w:tr w14:paraId="4153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445" w:type="pct"/>
            <w:shd w:val="clear" w:color="auto" w:fill="FFFFFF"/>
            <w:tcMar>
              <w:top w:w="0" w:type="dxa"/>
              <w:right w:w="0" w:type="dxa"/>
            </w:tcMar>
            <w:vAlign w:val="center"/>
          </w:tcPr>
          <w:p w14:paraId="2F3D7652">
            <w:pPr>
              <w:keepNext w:val="0"/>
              <w:keepLines w:val="0"/>
              <w:widowControl/>
              <w:suppressLineNumbers w:val="0"/>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i w:val="0"/>
                <w:iCs w:val="0"/>
                <w:color w:val="000000"/>
                <w:kern w:val="0"/>
                <w:sz w:val="22"/>
                <w:szCs w:val="22"/>
                <w:u w:val="none"/>
                <w:lang w:val="en-US" w:eastAsia="zh-CN" w:bidi="ar"/>
              </w:rPr>
              <w:t>5</w:t>
            </w:r>
          </w:p>
        </w:tc>
        <w:tc>
          <w:tcPr>
            <w:tcW w:w="1637" w:type="pct"/>
            <w:shd w:val="clear" w:color="auto" w:fill="FFFFFF"/>
            <w:tcMar>
              <w:top w:w="0" w:type="dxa"/>
              <w:right w:w="0" w:type="dxa"/>
            </w:tcMar>
            <w:vAlign w:val="center"/>
          </w:tcPr>
          <w:p w14:paraId="09B1115E">
            <w:pPr>
              <w:keepNext w:val="0"/>
              <w:keepLines w:val="0"/>
              <w:widowControl/>
              <w:suppressLineNumbers w:val="0"/>
              <w:jc w:val="center"/>
              <w:textAlignment w:val="center"/>
              <w:rPr>
                <w:rFonts w:hint="eastAsia" w:ascii="仿宋_GB2312" w:hAnsi="仿宋_GB2312" w:eastAsia="仿宋_GB2312" w:cs="仿宋_GB2312"/>
                <w:color w:val="000000" w:themeColor="text1"/>
                <w:kern w:val="2"/>
                <w:sz w:val="22"/>
                <w:szCs w:val="28"/>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低吧台</w:t>
            </w:r>
          </w:p>
        </w:tc>
        <w:tc>
          <w:tcPr>
            <w:tcW w:w="568" w:type="pct"/>
            <w:shd w:val="clear" w:color="auto" w:fill="FFFFFF"/>
            <w:vAlign w:val="center"/>
          </w:tcPr>
          <w:p w14:paraId="61A0D26B">
            <w:pPr>
              <w:keepNext w:val="0"/>
              <w:keepLines w:val="0"/>
              <w:widowControl/>
              <w:suppressLineNumbers w:val="0"/>
              <w:jc w:val="center"/>
              <w:textAlignment w:val="center"/>
              <w:rPr>
                <w:rFonts w:hint="eastAsia" w:ascii="仿宋_GB2312" w:hAnsi="仿宋_GB2312" w:eastAsia="仿宋_GB2312" w:cs="仿宋_GB2312"/>
                <w:color w:val="000000" w:themeColor="text1"/>
                <w:kern w:val="2"/>
                <w:sz w:val="22"/>
                <w:szCs w:val="28"/>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7</w:t>
            </w:r>
          </w:p>
        </w:tc>
        <w:tc>
          <w:tcPr>
            <w:tcW w:w="599" w:type="pct"/>
            <w:shd w:val="clear" w:color="auto" w:fill="FFFFFF"/>
            <w:tcMar>
              <w:top w:w="0" w:type="dxa"/>
              <w:right w:w="0" w:type="dxa"/>
            </w:tcMar>
            <w:vAlign w:val="center"/>
          </w:tcPr>
          <w:p w14:paraId="004AD956">
            <w:pPr>
              <w:keepNext w:val="0"/>
              <w:keepLines w:val="0"/>
              <w:widowControl/>
              <w:suppressLineNumbers w:val="0"/>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i w:val="0"/>
                <w:iCs w:val="0"/>
                <w:color w:val="000000"/>
                <w:kern w:val="0"/>
                <w:sz w:val="22"/>
                <w:szCs w:val="22"/>
                <w:u w:val="none"/>
                <w:lang w:val="en-US" w:eastAsia="zh-CN" w:bidi="ar"/>
              </w:rPr>
              <w:t>米</w:t>
            </w:r>
          </w:p>
        </w:tc>
        <w:tc>
          <w:tcPr>
            <w:tcW w:w="998" w:type="pct"/>
            <w:vMerge w:val="continue"/>
            <w:shd w:val="clear" w:color="auto" w:fill="FFFFFF"/>
            <w:vAlign w:val="center"/>
          </w:tcPr>
          <w:p w14:paraId="2BD9F945">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c>
          <w:tcPr>
            <w:tcW w:w="751" w:type="pct"/>
            <w:vMerge w:val="continue"/>
            <w:shd w:val="clear" w:color="auto" w:fill="FFFFFF"/>
            <w:tcMar>
              <w:top w:w="0" w:type="dxa"/>
              <w:right w:w="0" w:type="dxa"/>
            </w:tcMar>
            <w:vAlign w:val="center"/>
          </w:tcPr>
          <w:p w14:paraId="73BB1BBA">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r>
      <w:tr w14:paraId="5B6D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445" w:type="pct"/>
            <w:shd w:val="clear" w:color="auto" w:fill="FFFFFF"/>
            <w:tcMar>
              <w:top w:w="0" w:type="dxa"/>
              <w:right w:w="0" w:type="dxa"/>
            </w:tcMar>
            <w:vAlign w:val="center"/>
          </w:tcPr>
          <w:p w14:paraId="77684598">
            <w:pPr>
              <w:keepNext w:val="0"/>
              <w:keepLines w:val="0"/>
              <w:widowControl/>
              <w:suppressLineNumbers w:val="0"/>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i w:val="0"/>
                <w:iCs w:val="0"/>
                <w:color w:val="000000"/>
                <w:kern w:val="0"/>
                <w:sz w:val="22"/>
                <w:szCs w:val="22"/>
                <w:u w:val="none"/>
                <w:lang w:val="en-US" w:eastAsia="zh-CN" w:bidi="ar"/>
              </w:rPr>
              <w:t>6</w:t>
            </w:r>
          </w:p>
        </w:tc>
        <w:tc>
          <w:tcPr>
            <w:tcW w:w="1637" w:type="pct"/>
            <w:shd w:val="clear" w:color="auto" w:fill="FFFFFF"/>
            <w:tcMar>
              <w:top w:w="0" w:type="dxa"/>
              <w:right w:w="0" w:type="dxa"/>
            </w:tcMar>
            <w:vAlign w:val="center"/>
          </w:tcPr>
          <w:p w14:paraId="3E9A37C6">
            <w:pPr>
              <w:keepNext w:val="0"/>
              <w:keepLines w:val="0"/>
              <w:widowControl/>
              <w:suppressLineNumbers w:val="0"/>
              <w:jc w:val="center"/>
              <w:textAlignment w:val="center"/>
              <w:rPr>
                <w:rFonts w:hint="eastAsia" w:ascii="仿宋_GB2312" w:hAnsi="仿宋_GB2312" w:eastAsia="仿宋_GB2312" w:cs="仿宋_GB2312"/>
                <w:color w:val="000000" w:themeColor="text1"/>
                <w:kern w:val="2"/>
                <w:sz w:val="22"/>
                <w:szCs w:val="28"/>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餐桌</w:t>
            </w:r>
          </w:p>
        </w:tc>
        <w:tc>
          <w:tcPr>
            <w:tcW w:w="568" w:type="pct"/>
            <w:shd w:val="clear" w:color="auto" w:fill="FFFFFF"/>
            <w:vAlign w:val="center"/>
          </w:tcPr>
          <w:p w14:paraId="2055EE8C">
            <w:pPr>
              <w:keepNext w:val="0"/>
              <w:keepLines w:val="0"/>
              <w:widowControl/>
              <w:suppressLineNumbers w:val="0"/>
              <w:jc w:val="center"/>
              <w:textAlignment w:val="center"/>
              <w:rPr>
                <w:rFonts w:hint="eastAsia" w:ascii="仿宋_GB2312" w:hAnsi="仿宋_GB2312" w:eastAsia="仿宋_GB2312" w:cs="仿宋_GB2312"/>
                <w:color w:val="000000" w:themeColor="text1"/>
                <w:kern w:val="2"/>
                <w:sz w:val="22"/>
                <w:szCs w:val="28"/>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4</w:t>
            </w:r>
          </w:p>
        </w:tc>
        <w:tc>
          <w:tcPr>
            <w:tcW w:w="599" w:type="pct"/>
            <w:shd w:val="clear" w:color="auto" w:fill="FFFFFF"/>
            <w:tcMar>
              <w:top w:w="0" w:type="dxa"/>
              <w:right w:w="0" w:type="dxa"/>
            </w:tcMar>
            <w:vAlign w:val="center"/>
          </w:tcPr>
          <w:p w14:paraId="1C0703B6">
            <w:pPr>
              <w:keepNext w:val="0"/>
              <w:keepLines w:val="0"/>
              <w:widowControl/>
              <w:suppressLineNumbers w:val="0"/>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i w:val="0"/>
                <w:iCs w:val="0"/>
                <w:color w:val="000000"/>
                <w:kern w:val="0"/>
                <w:sz w:val="22"/>
                <w:szCs w:val="22"/>
                <w:u w:val="none"/>
                <w:lang w:val="en-US" w:eastAsia="zh-CN" w:bidi="ar"/>
              </w:rPr>
              <w:t>张</w:t>
            </w:r>
          </w:p>
        </w:tc>
        <w:tc>
          <w:tcPr>
            <w:tcW w:w="998" w:type="pct"/>
            <w:vMerge w:val="continue"/>
            <w:shd w:val="clear" w:color="auto" w:fill="FFFFFF"/>
            <w:vAlign w:val="center"/>
          </w:tcPr>
          <w:p w14:paraId="113BEE05">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c>
          <w:tcPr>
            <w:tcW w:w="751" w:type="pct"/>
            <w:vMerge w:val="continue"/>
            <w:shd w:val="clear" w:color="auto" w:fill="FFFFFF"/>
            <w:tcMar>
              <w:top w:w="0" w:type="dxa"/>
              <w:right w:w="0" w:type="dxa"/>
            </w:tcMar>
            <w:vAlign w:val="center"/>
          </w:tcPr>
          <w:p w14:paraId="3476B136">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r>
      <w:tr w14:paraId="40707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445" w:type="pct"/>
            <w:shd w:val="clear" w:color="auto" w:fill="FFFFFF"/>
            <w:tcMar>
              <w:top w:w="0" w:type="dxa"/>
              <w:right w:w="0" w:type="dxa"/>
            </w:tcMar>
            <w:vAlign w:val="center"/>
          </w:tcPr>
          <w:p w14:paraId="562C9DD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w:t>
            </w:r>
          </w:p>
        </w:tc>
        <w:tc>
          <w:tcPr>
            <w:tcW w:w="1637" w:type="pct"/>
            <w:shd w:val="clear" w:color="auto" w:fill="FFFFFF"/>
            <w:tcMar>
              <w:top w:w="0" w:type="dxa"/>
              <w:right w:w="0" w:type="dxa"/>
            </w:tcMar>
            <w:vAlign w:val="center"/>
          </w:tcPr>
          <w:p w14:paraId="479A7305">
            <w:pPr>
              <w:keepNext w:val="0"/>
              <w:keepLines w:val="0"/>
              <w:widowControl/>
              <w:suppressLineNumbers w:val="0"/>
              <w:jc w:val="center"/>
              <w:textAlignment w:val="center"/>
              <w:rPr>
                <w:rFonts w:hint="eastAsia" w:ascii="仿宋_GB2312" w:hAnsi="仿宋_GB2312" w:eastAsia="仿宋_GB2312" w:cs="仿宋_GB2312"/>
                <w:color w:val="000000" w:themeColor="text1"/>
                <w:kern w:val="2"/>
                <w:sz w:val="22"/>
                <w:szCs w:val="28"/>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餐椅</w:t>
            </w:r>
          </w:p>
        </w:tc>
        <w:tc>
          <w:tcPr>
            <w:tcW w:w="568" w:type="pct"/>
            <w:shd w:val="clear" w:color="auto" w:fill="FFFFFF"/>
            <w:vAlign w:val="center"/>
          </w:tcPr>
          <w:p w14:paraId="68988EF8">
            <w:pPr>
              <w:keepNext w:val="0"/>
              <w:keepLines w:val="0"/>
              <w:widowControl/>
              <w:suppressLineNumbers w:val="0"/>
              <w:jc w:val="center"/>
              <w:textAlignment w:val="center"/>
              <w:rPr>
                <w:rFonts w:hint="default" w:ascii="仿宋_GB2312" w:hAnsi="仿宋_GB2312" w:eastAsia="仿宋_GB2312" w:cs="仿宋_GB2312"/>
                <w:color w:val="000000" w:themeColor="text1"/>
                <w:kern w:val="2"/>
                <w:sz w:val="22"/>
                <w:szCs w:val="28"/>
                <w:lang w:val="en-US"/>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22</w:t>
            </w:r>
          </w:p>
        </w:tc>
        <w:tc>
          <w:tcPr>
            <w:tcW w:w="599" w:type="pct"/>
            <w:shd w:val="clear" w:color="auto" w:fill="FFFFFF"/>
            <w:tcMar>
              <w:top w:w="0" w:type="dxa"/>
              <w:right w:w="0" w:type="dxa"/>
            </w:tcMar>
            <w:vAlign w:val="center"/>
          </w:tcPr>
          <w:p w14:paraId="19A83357">
            <w:pPr>
              <w:keepNext w:val="0"/>
              <w:keepLines w:val="0"/>
              <w:widowControl/>
              <w:suppressLineNumbers w:val="0"/>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i w:val="0"/>
                <w:iCs w:val="0"/>
                <w:color w:val="000000"/>
                <w:kern w:val="0"/>
                <w:sz w:val="22"/>
                <w:szCs w:val="22"/>
                <w:u w:val="none"/>
                <w:lang w:val="en-US" w:eastAsia="zh-CN" w:bidi="ar"/>
              </w:rPr>
              <w:t>把</w:t>
            </w:r>
          </w:p>
        </w:tc>
        <w:tc>
          <w:tcPr>
            <w:tcW w:w="998" w:type="pct"/>
            <w:vMerge w:val="continue"/>
            <w:shd w:val="clear" w:color="auto" w:fill="FFFFFF"/>
            <w:vAlign w:val="center"/>
          </w:tcPr>
          <w:p w14:paraId="354260BE">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c>
          <w:tcPr>
            <w:tcW w:w="751" w:type="pct"/>
            <w:vMerge w:val="continue"/>
            <w:shd w:val="clear" w:color="auto" w:fill="FFFFFF"/>
            <w:tcMar>
              <w:top w:w="0" w:type="dxa"/>
              <w:right w:w="0" w:type="dxa"/>
            </w:tcMar>
            <w:vAlign w:val="center"/>
          </w:tcPr>
          <w:p w14:paraId="41CEC54D">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r>
      <w:tr w14:paraId="4A5A2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445" w:type="pct"/>
            <w:shd w:val="clear" w:color="auto" w:fill="FFFFFF"/>
            <w:tcMar>
              <w:top w:w="0" w:type="dxa"/>
              <w:right w:w="0" w:type="dxa"/>
            </w:tcMar>
            <w:vAlign w:val="center"/>
          </w:tcPr>
          <w:p w14:paraId="4F1E073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w:t>
            </w:r>
          </w:p>
        </w:tc>
        <w:tc>
          <w:tcPr>
            <w:tcW w:w="1637" w:type="pct"/>
            <w:shd w:val="clear" w:color="auto" w:fill="FFFFFF"/>
            <w:tcMar>
              <w:top w:w="0" w:type="dxa"/>
              <w:right w:w="0" w:type="dxa"/>
            </w:tcMar>
            <w:vAlign w:val="center"/>
          </w:tcPr>
          <w:p w14:paraId="19AAE4F4">
            <w:pPr>
              <w:keepNext w:val="0"/>
              <w:keepLines w:val="0"/>
              <w:widowControl/>
              <w:suppressLineNumbers w:val="0"/>
              <w:jc w:val="center"/>
              <w:textAlignment w:val="center"/>
              <w:rPr>
                <w:rFonts w:hint="eastAsia" w:ascii="仿宋_GB2312" w:hAnsi="仿宋_GB2312" w:eastAsia="仿宋_GB2312" w:cs="仿宋_GB2312"/>
                <w:color w:val="000000" w:themeColor="text1"/>
                <w:kern w:val="2"/>
                <w:sz w:val="22"/>
                <w:szCs w:val="28"/>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组合沙发</w:t>
            </w:r>
          </w:p>
        </w:tc>
        <w:tc>
          <w:tcPr>
            <w:tcW w:w="568" w:type="pct"/>
            <w:shd w:val="clear" w:color="auto" w:fill="FFFFFF"/>
            <w:vAlign w:val="center"/>
          </w:tcPr>
          <w:p w14:paraId="11AB9340">
            <w:pPr>
              <w:keepNext w:val="0"/>
              <w:keepLines w:val="0"/>
              <w:widowControl/>
              <w:suppressLineNumbers w:val="0"/>
              <w:jc w:val="center"/>
              <w:textAlignment w:val="center"/>
              <w:rPr>
                <w:rFonts w:hint="eastAsia" w:ascii="仿宋_GB2312" w:hAnsi="仿宋_GB2312" w:eastAsia="仿宋_GB2312" w:cs="仿宋_GB2312"/>
                <w:color w:val="000000" w:themeColor="text1"/>
                <w:kern w:val="2"/>
                <w:sz w:val="22"/>
                <w:szCs w:val="28"/>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2</w:t>
            </w:r>
          </w:p>
        </w:tc>
        <w:tc>
          <w:tcPr>
            <w:tcW w:w="599" w:type="pct"/>
            <w:shd w:val="clear" w:color="auto" w:fill="FFFFFF"/>
            <w:tcMar>
              <w:top w:w="0" w:type="dxa"/>
              <w:right w:w="0" w:type="dxa"/>
            </w:tcMar>
            <w:vAlign w:val="center"/>
          </w:tcPr>
          <w:p w14:paraId="064AB40E">
            <w:pPr>
              <w:keepNext w:val="0"/>
              <w:keepLines w:val="0"/>
              <w:widowControl/>
              <w:suppressLineNumbers w:val="0"/>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i w:val="0"/>
                <w:iCs w:val="0"/>
                <w:color w:val="000000"/>
                <w:kern w:val="0"/>
                <w:sz w:val="22"/>
                <w:szCs w:val="22"/>
                <w:u w:val="none"/>
                <w:lang w:val="en-US" w:eastAsia="zh-CN" w:bidi="ar"/>
              </w:rPr>
              <w:t>组</w:t>
            </w:r>
          </w:p>
        </w:tc>
        <w:tc>
          <w:tcPr>
            <w:tcW w:w="998" w:type="pct"/>
            <w:vMerge w:val="continue"/>
            <w:shd w:val="clear" w:color="auto" w:fill="FFFFFF"/>
            <w:vAlign w:val="center"/>
          </w:tcPr>
          <w:p w14:paraId="5B5E2817">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c>
          <w:tcPr>
            <w:tcW w:w="751" w:type="pct"/>
            <w:vMerge w:val="continue"/>
            <w:shd w:val="clear" w:color="auto" w:fill="FFFFFF"/>
            <w:tcMar>
              <w:top w:w="0" w:type="dxa"/>
              <w:right w:w="0" w:type="dxa"/>
            </w:tcMar>
            <w:vAlign w:val="center"/>
          </w:tcPr>
          <w:p w14:paraId="42A4B2EA">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r>
      <w:tr w14:paraId="47608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445" w:type="pct"/>
            <w:shd w:val="clear" w:color="auto" w:fill="FFFFFF"/>
            <w:tcMar>
              <w:top w:w="0" w:type="dxa"/>
              <w:right w:w="0" w:type="dxa"/>
            </w:tcMar>
            <w:vAlign w:val="center"/>
          </w:tcPr>
          <w:p w14:paraId="07E35DE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w:t>
            </w:r>
          </w:p>
        </w:tc>
        <w:tc>
          <w:tcPr>
            <w:tcW w:w="1637" w:type="pct"/>
            <w:shd w:val="clear" w:color="auto" w:fill="FFFFFF"/>
            <w:tcMar>
              <w:top w:w="0" w:type="dxa"/>
              <w:right w:w="0" w:type="dxa"/>
            </w:tcMar>
            <w:vAlign w:val="center"/>
          </w:tcPr>
          <w:p w14:paraId="5EF80026">
            <w:pPr>
              <w:keepNext w:val="0"/>
              <w:keepLines w:val="0"/>
              <w:widowControl/>
              <w:suppressLineNumbers w:val="0"/>
              <w:jc w:val="center"/>
              <w:textAlignment w:val="center"/>
              <w:rPr>
                <w:rFonts w:hint="eastAsia" w:ascii="仿宋_GB2312" w:hAnsi="仿宋_GB2312" w:eastAsia="仿宋_GB2312" w:cs="仿宋_GB2312"/>
                <w:color w:val="000000" w:themeColor="text1"/>
                <w:kern w:val="2"/>
                <w:sz w:val="22"/>
                <w:szCs w:val="28"/>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导诊台</w:t>
            </w:r>
          </w:p>
        </w:tc>
        <w:tc>
          <w:tcPr>
            <w:tcW w:w="568" w:type="pct"/>
            <w:shd w:val="clear" w:color="auto" w:fill="FFFFFF"/>
            <w:vAlign w:val="center"/>
          </w:tcPr>
          <w:p w14:paraId="72710B36">
            <w:pPr>
              <w:keepNext w:val="0"/>
              <w:keepLines w:val="0"/>
              <w:widowControl/>
              <w:suppressLineNumbers w:val="0"/>
              <w:jc w:val="center"/>
              <w:textAlignment w:val="center"/>
              <w:rPr>
                <w:rFonts w:hint="eastAsia" w:ascii="仿宋_GB2312" w:hAnsi="仿宋_GB2312" w:eastAsia="仿宋_GB2312" w:cs="仿宋_GB2312"/>
                <w:color w:val="000000" w:themeColor="text1"/>
                <w:kern w:val="2"/>
                <w:sz w:val="22"/>
                <w:szCs w:val="28"/>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599" w:type="pct"/>
            <w:shd w:val="clear" w:color="auto" w:fill="FFFFFF"/>
            <w:tcMar>
              <w:top w:w="0" w:type="dxa"/>
              <w:right w:w="0" w:type="dxa"/>
            </w:tcMar>
            <w:vAlign w:val="center"/>
          </w:tcPr>
          <w:p w14:paraId="3C26C660">
            <w:pPr>
              <w:keepNext w:val="0"/>
              <w:keepLines w:val="0"/>
              <w:widowControl/>
              <w:suppressLineNumbers w:val="0"/>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i w:val="0"/>
                <w:iCs w:val="0"/>
                <w:color w:val="000000"/>
                <w:kern w:val="0"/>
                <w:sz w:val="22"/>
                <w:szCs w:val="22"/>
                <w:u w:val="none"/>
                <w:lang w:val="en-US" w:eastAsia="zh-CN" w:bidi="ar"/>
              </w:rPr>
              <w:t>套</w:t>
            </w:r>
          </w:p>
        </w:tc>
        <w:tc>
          <w:tcPr>
            <w:tcW w:w="998" w:type="pct"/>
            <w:vMerge w:val="continue"/>
            <w:shd w:val="clear" w:color="auto" w:fill="FFFFFF"/>
            <w:vAlign w:val="center"/>
          </w:tcPr>
          <w:p w14:paraId="6D832603">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c>
          <w:tcPr>
            <w:tcW w:w="751" w:type="pct"/>
            <w:vMerge w:val="continue"/>
            <w:shd w:val="clear" w:color="auto" w:fill="FFFFFF"/>
            <w:tcMar>
              <w:top w:w="0" w:type="dxa"/>
              <w:right w:w="0" w:type="dxa"/>
            </w:tcMar>
            <w:vAlign w:val="center"/>
          </w:tcPr>
          <w:p w14:paraId="04E47C97">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r>
      <w:tr w14:paraId="5DB06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445" w:type="pct"/>
            <w:shd w:val="clear" w:color="auto" w:fill="FFFFFF"/>
            <w:tcMar>
              <w:top w:w="0" w:type="dxa"/>
              <w:right w:w="0" w:type="dxa"/>
            </w:tcMar>
            <w:vAlign w:val="center"/>
          </w:tcPr>
          <w:p w14:paraId="63F97520">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w:t>
            </w:r>
          </w:p>
        </w:tc>
        <w:tc>
          <w:tcPr>
            <w:tcW w:w="1637" w:type="pct"/>
            <w:shd w:val="clear" w:color="auto" w:fill="FFFFFF"/>
            <w:tcMar>
              <w:top w:w="0" w:type="dxa"/>
              <w:right w:w="0" w:type="dxa"/>
            </w:tcMar>
            <w:vAlign w:val="center"/>
          </w:tcPr>
          <w:p w14:paraId="4D27085C">
            <w:pPr>
              <w:keepNext w:val="0"/>
              <w:keepLines w:val="0"/>
              <w:widowControl/>
              <w:suppressLineNumbers w:val="0"/>
              <w:jc w:val="center"/>
              <w:textAlignment w:val="center"/>
              <w:rPr>
                <w:rFonts w:hint="eastAsia" w:ascii="仿宋_GB2312" w:hAnsi="仿宋_GB2312" w:eastAsia="仿宋_GB2312" w:cs="仿宋_GB2312"/>
                <w:color w:val="000000" w:themeColor="text1"/>
                <w:kern w:val="2"/>
                <w:sz w:val="22"/>
                <w:szCs w:val="28"/>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导诊椅</w:t>
            </w:r>
          </w:p>
        </w:tc>
        <w:tc>
          <w:tcPr>
            <w:tcW w:w="568" w:type="pct"/>
            <w:shd w:val="clear" w:color="auto" w:fill="FFFFFF"/>
            <w:vAlign w:val="center"/>
          </w:tcPr>
          <w:p w14:paraId="155E7081">
            <w:pPr>
              <w:keepNext w:val="0"/>
              <w:keepLines w:val="0"/>
              <w:widowControl/>
              <w:suppressLineNumbers w:val="0"/>
              <w:jc w:val="center"/>
              <w:textAlignment w:val="center"/>
              <w:rPr>
                <w:rFonts w:hint="eastAsia" w:ascii="仿宋_GB2312" w:hAnsi="仿宋_GB2312" w:eastAsia="仿宋_GB2312" w:cs="仿宋_GB2312"/>
                <w:color w:val="000000" w:themeColor="text1"/>
                <w:kern w:val="2"/>
                <w:sz w:val="22"/>
                <w:szCs w:val="28"/>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599" w:type="pct"/>
            <w:shd w:val="clear" w:color="auto" w:fill="FFFFFF"/>
            <w:tcMar>
              <w:top w:w="0" w:type="dxa"/>
              <w:right w:w="0" w:type="dxa"/>
            </w:tcMar>
            <w:vAlign w:val="center"/>
          </w:tcPr>
          <w:p w14:paraId="428A77B3">
            <w:pPr>
              <w:keepNext w:val="0"/>
              <w:keepLines w:val="0"/>
              <w:widowControl/>
              <w:suppressLineNumbers w:val="0"/>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i w:val="0"/>
                <w:iCs w:val="0"/>
                <w:color w:val="000000"/>
                <w:kern w:val="0"/>
                <w:sz w:val="22"/>
                <w:szCs w:val="22"/>
                <w:u w:val="none"/>
                <w:lang w:val="en-US" w:eastAsia="zh-CN" w:bidi="ar"/>
              </w:rPr>
              <w:t>把</w:t>
            </w:r>
          </w:p>
        </w:tc>
        <w:tc>
          <w:tcPr>
            <w:tcW w:w="998" w:type="pct"/>
            <w:vMerge w:val="continue"/>
            <w:shd w:val="clear" w:color="auto" w:fill="FFFFFF"/>
            <w:vAlign w:val="center"/>
          </w:tcPr>
          <w:p w14:paraId="08FD9101">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c>
          <w:tcPr>
            <w:tcW w:w="751" w:type="pct"/>
            <w:vMerge w:val="continue"/>
            <w:shd w:val="clear" w:color="auto" w:fill="FFFFFF"/>
            <w:tcMar>
              <w:top w:w="0" w:type="dxa"/>
              <w:right w:w="0" w:type="dxa"/>
            </w:tcMar>
            <w:vAlign w:val="center"/>
          </w:tcPr>
          <w:p w14:paraId="5EE4B734">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r>
    </w:tbl>
    <w:p w14:paraId="195683DE">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注：进口产品指通过中国海关报关验放进入中国境内且产自境外的产品。</w:t>
      </w:r>
    </w:p>
    <w:p w14:paraId="795E119C">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若供应商所报产品为进口产品，则供应商须具有所报进口产品生产厂家授权文件，否则响应文件无效。授权文件要求如下：由生产厂家或其在国内的授权代理商出具的授权书。</w:t>
      </w:r>
    </w:p>
    <w:p w14:paraId="0EB12AA6">
      <w:pPr>
        <w:pStyle w:val="13"/>
        <w:spacing w:line="560" w:lineRule="exact"/>
        <w:ind w:left="0" w:leftChars="0" w:firstLine="482"/>
        <w:rPr>
          <w:b/>
          <w:bCs/>
        </w:rPr>
      </w:pPr>
      <w:r>
        <w:rPr>
          <w:rFonts w:hint="eastAsia" w:ascii="仿宋_GB2312" w:hAnsi="仿宋_GB2312" w:eastAsia="仿宋_GB2312" w:cs="仿宋_GB2312"/>
          <w:b/>
          <w:bCs/>
          <w:color w:val="000000" w:themeColor="text1"/>
          <w:sz w:val="24"/>
          <w14:textFill>
            <w14:solidFill>
              <w14:schemeClr w14:val="tx1"/>
            </w14:solidFill>
          </w14:textFill>
        </w:rPr>
        <w:t>响应文件中应根据汇总表提供采购标的报价单（见附件）。</w:t>
      </w:r>
    </w:p>
    <w:p w14:paraId="7D1C59C7">
      <w:pPr>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五、技术要求与商务要求</w:t>
      </w:r>
    </w:p>
    <w:p w14:paraId="25917457">
      <w:pPr>
        <w:snapToGrid w:val="0"/>
        <w:spacing w:line="520" w:lineRule="exact"/>
        <w:ind w:firstLine="482" w:firstLineChars="200"/>
        <w:rPr>
          <w:rFonts w:ascii="仿宋_GB2312" w:hAnsi="仿宋_GB2312" w:eastAsia="仿宋_GB2312" w:cs="仿宋_GB2312"/>
          <w:sz w:val="24"/>
        </w:rPr>
      </w:pPr>
      <w:r>
        <w:rPr>
          <w:rFonts w:hint="eastAsia" w:ascii="仿宋_GB2312" w:hAnsi="仿宋_GB2312" w:eastAsia="仿宋_GB2312" w:cs="仿宋_GB2312"/>
          <w:b/>
          <w:bCs/>
          <w:sz w:val="24"/>
        </w:rPr>
        <w:t>技术指标和商务要求分为关键指标和一般指标。标“*”代表关键指标，不满足该指标将导致响应被拒绝；无标识则表示一般指标。</w:t>
      </w:r>
      <w:r>
        <w:rPr>
          <w:rFonts w:hint="eastAsia" w:ascii="仿宋_GB2312" w:hAnsi="仿宋_GB2312" w:eastAsia="仿宋_GB2312" w:cs="仿宋_GB2312"/>
          <w:sz w:val="24"/>
        </w:rPr>
        <w:t>对于关键指标，响应人需提供所投产品的第三方检测报告或技术白皮书或技术彩页或官网截图或其他证明文件以证明投标参数符合技术要求，未提供有效证明材料或证明材料中内容与所填报指标不一致的视为不满足。</w:t>
      </w:r>
    </w:p>
    <w:p w14:paraId="77E1FE7D">
      <w:pPr>
        <w:pStyle w:val="11"/>
        <w:shd w:val="clear" w:color="auto" w:fill="FFFFFF"/>
        <w:spacing w:before="0" w:beforeAutospacing="0" w:after="0" w:afterAutospacing="0" w:line="520" w:lineRule="exact"/>
        <w:ind w:firstLine="482" w:firstLineChars="200"/>
        <w:jc w:val="both"/>
        <w:rPr>
          <w:rFonts w:ascii="仿宋_GB2312" w:hAnsi="仿宋_GB2312" w:eastAsia="仿宋_GB2312" w:cs="仿宋_GB2312"/>
          <w:b/>
          <w:color w:val="000000" w:themeColor="text1"/>
          <w:kern w:val="2"/>
          <w14:textFill>
            <w14:solidFill>
              <w14:schemeClr w14:val="tx1"/>
            </w14:solidFill>
          </w14:textFill>
        </w:rPr>
      </w:pPr>
      <w:r>
        <w:rPr>
          <w:rFonts w:hint="eastAsia" w:ascii="仿宋_GB2312" w:hAnsi="仿宋_GB2312" w:eastAsia="仿宋_GB2312" w:cs="仿宋_GB2312"/>
          <w:b/>
          <w:color w:val="000000" w:themeColor="text1"/>
          <w:kern w:val="2"/>
          <w14:textFill>
            <w14:solidFill>
              <w14:schemeClr w14:val="tx1"/>
            </w14:solidFill>
          </w14:textFill>
        </w:rPr>
        <w:t>（一）技术要求：</w:t>
      </w:r>
    </w:p>
    <w:p w14:paraId="21964E77">
      <w:pPr>
        <w:pStyle w:val="11"/>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firstLine="480" w:firstLineChars="200"/>
        <w:jc w:val="both"/>
        <w:textAlignment w:val="auto"/>
        <w:rPr>
          <w:rFonts w:hint="eastAsia" w:ascii="仿宋_GB2312" w:hAnsi="仿宋_GB2312" w:eastAsia="仿宋_GB2312" w:cs="仿宋_GB2312"/>
          <w:color w:val="000000" w:themeColor="text1"/>
          <w:kern w:val="2"/>
          <w:lang w:val="en-US" w:eastAsia="zh-CN"/>
          <w14:textFill>
            <w14:solidFill>
              <w14:schemeClr w14:val="tx1"/>
            </w14:solidFill>
          </w14:textFill>
        </w:rPr>
      </w:pPr>
      <w:r>
        <w:rPr>
          <w:rFonts w:hint="eastAsia" w:ascii="仿宋_GB2312" w:hAnsi="仿宋_GB2312" w:eastAsia="仿宋_GB2312" w:cs="仿宋_GB2312"/>
          <w:color w:val="000000" w:themeColor="text1"/>
          <w:kern w:val="2"/>
          <w:lang w:val="en-US" w:eastAsia="zh-CN"/>
          <w14:textFill>
            <w14:solidFill>
              <w14:schemeClr w14:val="tx1"/>
            </w14:solidFill>
          </w14:textFill>
        </w:rPr>
        <w:t>1.供应商</w:t>
      </w:r>
      <w:r>
        <w:rPr>
          <w:rFonts w:hint="eastAsia" w:ascii="仿宋_GB2312" w:hAnsi="仿宋_GB2312" w:eastAsia="仿宋_GB2312" w:cs="仿宋_GB2312"/>
          <w:color w:val="000000" w:themeColor="text1"/>
          <w:kern w:val="2"/>
          <w14:textFill>
            <w14:solidFill>
              <w14:schemeClr w14:val="tx1"/>
            </w14:solidFill>
          </w14:textFill>
        </w:rPr>
        <w:t>提供合理的设计方案</w:t>
      </w:r>
      <w:r>
        <w:rPr>
          <w:rFonts w:hint="eastAsia" w:ascii="仿宋_GB2312" w:hAnsi="仿宋_GB2312" w:eastAsia="仿宋_GB2312" w:cs="仿宋_GB2312"/>
          <w:color w:val="000000" w:themeColor="text1"/>
          <w:kern w:val="2"/>
          <w:lang w:eastAsia="zh-CN"/>
          <w14:textFill>
            <w14:solidFill>
              <w14:schemeClr w14:val="tx1"/>
            </w14:solidFill>
          </w14:textFill>
        </w:rPr>
        <w:t>（</w:t>
      </w:r>
      <w:r>
        <w:rPr>
          <w:rFonts w:hint="eastAsia" w:ascii="仿宋_GB2312" w:hAnsi="仿宋_GB2312" w:eastAsia="仿宋_GB2312" w:cs="仿宋_GB2312"/>
          <w:color w:val="000000" w:themeColor="text1"/>
          <w:kern w:val="2"/>
          <w:lang w:val="en-US" w:eastAsia="zh-CN"/>
          <w14:textFill>
            <w14:solidFill>
              <w14:schemeClr w14:val="tx1"/>
            </w14:solidFill>
          </w14:textFill>
        </w:rPr>
        <w:t>款式、配色等</w:t>
      </w:r>
      <w:r>
        <w:rPr>
          <w:rFonts w:hint="eastAsia" w:ascii="仿宋_GB2312" w:hAnsi="仿宋_GB2312" w:eastAsia="仿宋_GB2312" w:cs="仿宋_GB2312"/>
          <w:color w:val="000000" w:themeColor="text1"/>
          <w:kern w:val="2"/>
          <w:lang w:eastAsia="zh-CN"/>
          <w14:textFill>
            <w14:solidFill>
              <w14:schemeClr w14:val="tx1"/>
            </w14:solidFill>
          </w14:textFill>
        </w:rPr>
        <w:t>）</w:t>
      </w:r>
      <w:r>
        <w:rPr>
          <w:rFonts w:hint="eastAsia" w:ascii="仿宋_GB2312" w:hAnsi="仿宋_GB2312" w:eastAsia="仿宋_GB2312" w:cs="仿宋_GB2312"/>
          <w:color w:val="000000" w:themeColor="text1"/>
          <w:kern w:val="2"/>
          <w14:textFill>
            <w14:solidFill>
              <w14:schemeClr w14:val="tx1"/>
            </w14:solidFill>
          </w14:textFill>
        </w:rPr>
        <w:t>、平面布置图、重点区域效果图及</w:t>
      </w:r>
      <w:r>
        <w:rPr>
          <w:rFonts w:hint="eastAsia" w:ascii="仿宋_GB2312" w:hAnsi="仿宋_GB2312" w:eastAsia="仿宋_GB2312" w:cs="仿宋_GB2312"/>
          <w:color w:val="000000" w:themeColor="text1"/>
          <w:kern w:val="2"/>
          <w:lang w:val="en-US" w:eastAsia="zh-CN"/>
          <w14:textFill>
            <w14:solidFill>
              <w14:schemeClr w14:val="tx1"/>
            </w14:solidFill>
          </w14:textFill>
        </w:rPr>
        <w:t>部分样品。</w:t>
      </w:r>
    </w:p>
    <w:p w14:paraId="37D65FAD">
      <w:pPr>
        <w:pStyle w:val="11"/>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firstLine="480" w:firstLineChars="200"/>
        <w:jc w:val="both"/>
        <w:textAlignment w:val="auto"/>
        <w:rPr>
          <w:rFonts w:hint="eastAsia" w:ascii="仿宋_GB2312" w:hAnsi="仿宋_GB2312" w:eastAsia="仿宋_GB2312" w:cs="仿宋_GB2312"/>
          <w:color w:val="000000" w:themeColor="text1"/>
          <w:kern w:val="2"/>
          <w:lang w:val="en-US" w:eastAsia="zh-CN"/>
          <w14:textFill>
            <w14:solidFill>
              <w14:schemeClr w14:val="tx1"/>
            </w14:solidFill>
          </w14:textFill>
        </w:rPr>
      </w:pPr>
      <w:r>
        <w:rPr>
          <w:rFonts w:hint="eastAsia" w:ascii="仿宋_GB2312" w:hAnsi="仿宋_GB2312" w:eastAsia="仿宋_GB2312" w:cs="仿宋_GB2312"/>
          <w:color w:val="000000" w:themeColor="text1"/>
          <w:kern w:val="2"/>
          <w:lang w:val="en-US" w:eastAsia="zh-CN"/>
          <w14:textFill>
            <w14:solidFill>
              <w14:schemeClr w14:val="tx1"/>
            </w14:solidFill>
          </w14:textFill>
        </w:rPr>
        <w:t>2.技术参数</w:t>
      </w:r>
    </w:p>
    <w:p w14:paraId="610FE787">
      <w:pPr>
        <w:pStyle w:val="11"/>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firstLine="480" w:firstLineChars="200"/>
        <w:jc w:val="both"/>
        <w:textAlignment w:val="auto"/>
        <w:rPr>
          <w:rFonts w:hint="default" w:ascii="仿宋_GB2312" w:hAnsi="仿宋_GB2312" w:eastAsia="仿宋_GB2312" w:cs="仿宋_GB2312"/>
          <w:color w:val="000000" w:themeColor="text1"/>
          <w:kern w:val="2"/>
          <w:lang w:val="en-US" w:eastAsia="zh-CN"/>
          <w14:textFill>
            <w14:solidFill>
              <w14:schemeClr w14:val="tx1"/>
            </w14:solidFill>
          </w14:textFill>
        </w:rPr>
      </w:pPr>
      <w:r>
        <w:rPr>
          <w:rFonts w:hint="eastAsia" w:ascii="仿宋_GB2312" w:hAnsi="仿宋_GB2312" w:eastAsia="仿宋_GB2312" w:cs="仿宋_GB2312"/>
          <w:color w:val="000000" w:themeColor="text1"/>
          <w:kern w:val="2"/>
          <w:lang w:val="en-US" w:eastAsia="zh-CN"/>
          <w14:textFill>
            <w14:solidFill>
              <w14:schemeClr w14:val="tx1"/>
            </w14:solidFill>
          </w14:textFill>
        </w:rPr>
        <w:t>本次采购设计品类应整体结构稳固，承重达标，推拉、落座无晃动、无异响，符合人体工学；全部木材、板材、海绵、面料、漆面均符合国家家具环保强制标准；表面材质防水、防油污、不渗色，可使用酒精、含氯消毒液反复擦拭，不发白、不脱皮、不开裂。</w:t>
      </w:r>
    </w:p>
    <w:tbl>
      <w:tblPr>
        <w:tblStyle w:val="14"/>
        <w:tblpPr w:leftFromText="180" w:rightFromText="180" w:vertAnchor="text" w:horzAnchor="margin" w:tblpX="-147" w:tblpY="553"/>
        <w:tblW w:w="84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406"/>
        <w:gridCol w:w="6180"/>
      </w:tblGrid>
      <w:tr w14:paraId="19785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46" w:type="dxa"/>
            <w:shd w:val="clear" w:color="auto" w:fill="auto"/>
            <w:vAlign w:val="center"/>
          </w:tcPr>
          <w:p w14:paraId="77C8E751">
            <w:pPr>
              <w:pStyle w:val="11"/>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序号</w:t>
            </w:r>
          </w:p>
        </w:tc>
        <w:tc>
          <w:tcPr>
            <w:tcW w:w="1406" w:type="dxa"/>
            <w:shd w:val="clear" w:color="auto" w:fill="auto"/>
            <w:vAlign w:val="center"/>
          </w:tcPr>
          <w:p w14:paraId="4DDA2453">
            <w:pPr>
              <w:pStyle w:val="11"/>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名称</w:t>
            </w:r>
          </w:p>
        </w:tc>
        <w:tc>
          <w:tcPr>
            <w:tcW w:w="6180" w:type="dxa"/>
            <w:shd w:val="clear" w:color="auto" w:fill="auto"/>
            <w:vAlign w:val="center"/>
          </w:tcPr>
          <w:p w14:paraId="2E69F9AA">
            <w:pPr>
              <w:pStyle w:val="11"/>
              <w:shd w:val="clear" w:color="auto" w:fill="FFFFFF"/>
              <w:spacing w:before="0" w:beforeAutospacing="0" w:after="0" w:afterAutospacing="0" w:line="520" w:lineRule="exact"/>
              <w:jc w:val="center"/>
              <w:rPr>
                <w:rFonts w:hint="default" w:ascii="仿宋_GB2312" w:hAnsi="仿宋_GB2312" w:eastAsia="仿宋_GB2312" w:cs="仿宋_GB2312"/>
                <w:color w:val="000000" w:themeColor="text1"/>
                <w:kern w:val="2"/>
                <w:lang w:val="en-US" w:eastAsia="zh-CN"/>
                <w14:textFill>
                  <w14:solidFill>
                    <w14:schemeClr w14:val="tx1"/>
                  </w14:solidFill>
                </w14:textFill>
              </w:rPr>
            </w:pPr>
            <w:r>
              <w:rPr>
                <w:rFonts w:hint="eastAsia" w:ascii="仿宋_GB2312" w:hAnsi="仿宋_GB2312" w:eastAsia="仿宋_GB2312" w:cs="仿宋_GB2312"/>
                <w:color w:val="000000" w:themeColor="text1"/>
                <w:kern w:val="2"/>
                <w:lang w:val="en-US" w:eastAsia="zh-CN"/>
                <w14:textFill>
                  <w14:solidFill>
                    <w14:schemeClr w14:val="tx1"/>
                  </w14:solidFill>
                </w14:textFill>
              </w:rPr>
              <w:t>规格/材质要求</w:t>
            </w:r>
          </w:p>
        </w:tc>
      </w:tr>
      <w:tr w14:paraId="427C5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46" w:type="dxa"/>
            <w:shd w:val="clear" w:color="auto" w:fill="auto"/>
            <w:vAlign w:val="center"/>
          </w:tcPr>
          <w:p w14:paraId="66535D53">
            <w:pPr>
              <w:keepNext w:val="0"/>
              <w:keepLines w:val="0"/>
              <w:widowControl/>
              <w:suppressLineNumbers w:val="0"/>
              <w:jc w:val="center"/>
              <w:textAlignment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1406" w:type="dxa"/>
            <w:shd w:val="clear" w:color="auto" w:fill="auto"/>
            <w:vAlign w:val="center"/>
          </w:tcPr>
          <w:p w14:paraId="1ADD433D">
            <w:pPr>
              <w:keepNext w:val="0"/>
              <w:keepLines w:val="0"/>
              <w:widowControl/>
              <w:suppressLineNumbers w:val="0"/>
              <w:jc w:val="center"/>
              <w:textAlignment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休闲沙发</w:t>
            </w:r>
          </w:p>
        </w:tc>
        <w:tc>
          <w:tcPr>
            <w:tcW w:w="6180" w:type="dxa"/>
            <w:shd w:val="clear" w:color="auto" w:fill="auto"/>
            <w:vAlign w:val="center"/>
          </w:tcPr>
          <w:p w14:paraId="4F30DD43">
            <w:pPr>
              <w:widowControl/>
              <w:jc w:val="left"/>
              <w:textAlignment w:val="center"/>
              <w:rPr>
                <w:rFonts w:hint="default" w:ascii="仿宋_GB2312" w:hAnsi="仿宋_GB2312" w:eastAsia="仿宋_GB2312" w:cs="仿宋_GB2312"/>
                <w:color w:val="000000"/>
                <w:kern w:val="0"/>
                <w:sz w:val="18"/>
                <w:szCs w:val="18"/>
                <w:lang w:val="en-US" w:eastAsia="zh-CN"/>
              </w:rPr>
            </w:pPr>
            <w:r>
              <w:rPr>
                <w:rFonts w:hint="eastAsia" w:ascii="仿宋_GB2312" w:hAnsi="仿宋_GB2312" w:eastAsia="仿宋_GB2312" w:cs="仿宋_GB2312"/>
                <w:color w:val="000000"/>
                <w:kern w:val="0"/>
                <w:sz w:val="18"/>
                <w:szCs w:val="18"/>
                <w:lang w:val="en-US" w:eastAsia="zh-CN"/>
              </w:rPr>
              <w:t>1.外形尺寸</w:t>
            </w:r>
            <w:r>
              <w:rPr>
                <w:rFonts w:hint="eastAsia" w:ascii="仿宋_GB2312" w:hAnsi="仿宋_GB2312" w:eastAsia="仿宋_GB2312" w:cs="仿宋_GB2312"/>
                <w:color w:val="000000"/>
                <w:kern w:val="0"/>
                <w:sz w:val="22"/>
                <w:szCs w:val="22"/>
              </w:rPr>
              <w:t>mm</w:t>
            </w:r>
            <w:r>
              <w:rPr>
                <w:rFonts w:hint="eastAsia" w:ascii="仿宋_GB2312" w:hAnsi="仿宋_GB2312" w:eastAsia="仿宋_GB2312" w:cs="仿宋_GB2312"/>
                <w:color w:val="000000"/>
                <w:kern w:val="0"/>
                <w:sz w:val="18"/>
                <w:szCs w:val="18"/>
                <w:lang w:val="en-US" w:eastAsia="zh-CN"/>
              </w:rPr>
              <w:t>(长*宽*高)：750*750*780，可允许偏差 ±5mm</w:t>
            </w:r>
          </w:p>
          <w:p w14:paraId="01A9016D">
            <w:pPr>
              <w:widowControl/>
              <w:jc w:val="left"/>
              <w:textAlignment w:val="center"/>
              <w:rPr>
                <w:rFonts w:hint="default" w:ascii="仿宋_GB2312" w:hAnsi="仿宋_GB2312" w:eastAsia="仿宋_GB2312" w:cs="仿宋_GB2312"/>
                <w:color w:val="000000"/>
                <w:kern w:val="0"/>
                <w:sz w:val="18"/>
                <w:szCs w:val="18"/>
                <w:lang w:val="en-US" w:eastAsia="zh-CN"/>
              </w:rPr>
            </w:pPr>
            <w:r>
              <w:rPr>
                <w:rFonts w:hint="eastAsia" w:ascii="仿宋_GB2312" w:hAnsi="仿宋_GB2312" w:eastAsia="仿宋_GB2312" w:cs="仿宋_GB2312"/>
                <w:color w:val="000000"/>
                <w:kern w:val="0"/>
                <w:sz w:val="18"/>
                <w:szCs w:val="18"/>
                <w:lang w:val="en-US" w:eastAsia="zh-CN"/>
              </w:rPr>
              <w:t>2.面料</w:t>
            </w:r>
            <w:r>
              <w:rPr>
                <w:rFonts w:hint="eastAsia" w:ascii="仿宋_GB2312" w:hAnsi="仿宋_GB2312" w:eastAsia="仿宋_GB2312" w:cs="仿宋_GB2312"/>
                <w:color w:val="000000"/>
                <w:kern w:val="0"/>
                <w:sz w:val="18"/>
                <w:szCs w:val="18"/>
              </w:rPr>
              <w:t>：环保优质加厚超纤皮面覆面</w:t>
            </w:r>
            <w:r>
              <w:rPr>
                <w:rFonts w:hint="eastAsia" w:ascii="仿宋_GB2312" w:hAnsi="仿宋_GB2312" w:eastAsia="仿宋_GB2312" w:cs="仿宋_GB2312"/>
                <w:color w:val="000000"/>
                <w:kern w:val="0"/>
                <w:sz w:val="18"/>
                <w:szCs w:val="18"/>
                <w:lang w:eastAsia="zh-CN"/>
              </w:rPr>
              <w:t>，致密不渗水，耐擦洗、便于日常消杀</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lang w:val="en-US" w:eastAsia="zh-CN"/>
              </w:rPr>
              <w:t>3.</w:t>
            </w:r>
            <w:r>
              <w:rPr>
                <w:rFonts w:hint="eastAsia" w:ascii="仿宋_GB2312" w:hAnsi="仿宋_GB2312" w:eastAsia="仿宋_GB2312" w:cs="仿宋_GB2312"/>
                <w:color w:val="000000"/>
                <w:kern w:val="0"/>
                <w:sz w:val="18"/>
                <w:szCs w:val="18"/>
              </w:rPr>
              <w:t>衬垫层：使用优质环保型高回弹PU泡棉，座密度</w:t>
            </w:r>
            <w:r>
              <w:rPr>
                <w:rFonts w:hint="eastAsia" w:ascii="仿宋_GB2312" w:hAnsi="仿宋_GB2312" w:eastAsia="仿宋_GB2312" w:cs="仿宋_GB2312"/>
                <w:color w:val="000000"/>
                <w:kern w:val="0"/>
                <w:sz w:val="18"/>
                <w:szCs w:val="18"/>
                <w:lang w:eastAsia="zh-CN"/>
              </w:rPr>
              <w:t>、</w:t>
            </w:r>
            <w:r>
              <w:rPr>
                <w:rFonts w:hint="eastAsia" w:ascii="仿宋_GB2312" w:hAnsi="仿宋_GB2312" w:eastAsia="仿宋_GB2312" w:cs="仿宋_GB2312"/>
                <w:color w:val="000000"/>
                <w:kern w:val="0"/>
                <w:sz w:val="18"/>
                <w:szCs w:val="18"/>
                <w:lang w:val="en-US" w:eastAsia="zh-CN"/>
              </w:rPr>
              <w:t>靠</w:t>
            </w:r>
            <w:r>
              <w:rPr>
                <w:rFonts w:hint="eastAsia" w:ascii="仿宋_GB2312" w:hAnsi="仿宋_GB2312" w:eastAsia="仿宋_GB2312" w:cs="仿宋_GB2312"/>
                <w:color w:val="000000"/>
                <w:kern w:val="0"/>
                <w:sz w:val="18"/>
                <w:szCs w:val="18"/>
              </w:rPr>
              <w:t>背密度</w:t>
            </w:r>
            <w:r>
              <w:rPr>
                <w:rFonts w:hint="eastAsia" w:ascii="仿宋_GB2312" w:hAnsi="仿宋_GB2312" w:eastAsia="仿宋_GB2312" w:cs="仿宋_GB2312"/>
                <w:color w:val="000000"/>
                <w:kern w:val="0"/>
                <w:sz w:val="18"/>
                <w:szCs w:val="18"/>
                <w:lang w:val="en-US" w:eastAsia="zh-CN"/>
              </w:rPr>
              <w:t>≥</w:t>
            </w:r>
            <w:r>
              <w:rPr>
                <w:rFonts w:hint="eastAsia" w:ascii="仿宋_GB2312" w:hAnsi="仿宋_GB2312" w:eastAsia="仿宋_GB2312" w:cs="仿宋_GB2312"/>
                <w:color w:val="000000"/>
                <w:kern w:val="0"/>
                <w:sz w:val="18"/>
                <w:szCs w:val="18"/>
              </w:rPr>
              <w:t>45kg/m³，要求软硬适中、持久回弹，长期使用不易塌陷，无异味，符合环保标准</w:t>
            </w:r>
            <w:r>
              <w:rPr>
                <w:rFonts w:hint="eastAsia" w:ascii="仿宋_GB2312" w:hAnsi="仿宋_GB2312" w:eastAsia="仿宋_GB2312" w:cs="仿宋_GB2312"/>
                <w:color w:val="000000"/>
                <w:kern w:val="0"/>
                <w:sz w:val="18"/>
                <w:szCs w:val="18"/>
                <w:lang w:eastAsia="zh-CN"/>
              </w:rPr>
              <w:t>，</w:t>
            </w:r>
            <w:r>
              <w:rPr>
                <w:rFonts w:hint="eastAsia" w:ascii="仿宋_GB2312" w:hAnsi="仿宋_GB2312" w:eastAsia="仿宋_GB2312" w:cs="仿宋_GB2312"/>
                <w:color w:val="000000"/>
                <w:kern w:val="0"/>
                <w:sz w:val="18"/>
                <w:szCs w:val="18"/>
                <w:lang w:val="en-US" w:eastAsia="zh-CN"/>
              </w:rPr>
              <w:t>颜色可选</w:t>
            </w:r>
          </w:p>
          <w:p w14:paraId="54A88759">
            <w:pPr>
              <w:widowControl/>
              <w:jc w:val="left"/>
              <w:textAlignment w:val="center"/>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kern w:val="0"/>
                <w:sz w:val="18"/>
                <w:szCs w:val="18"/>
                <w:lang w:val="en-US" w:eastAsia="zh-CN"/>
              </w:rPr>
              <w:t>4.</w:t>
            </w:r>
            <w:r>
              <w:rPr>
                <w:rFonts w:hint="eastAsia" w:ascii="仿宋_GB2312" w:hAnsi="仿宋_GB2312" w:eastAsia="仿宋_GB2312" w:cs="仿宋_GB2312"/>
                <w:color w:val="000000"/>
                <w:kern w:val="0"/>
                <w:sz w:val="18"/>
                <w:szCs w:val="18"/>
              </w:rPr>
              <w:t>钢制</w:t>
            </w:r>
            <w:r>
              <w:rPr>
                <w:rFonts w:hint="eastAsia" w:ascii="仿宋_GB2312" w:hAnsi="仿宋_GB2312" w:eastAsia="仿宋_GB2312" w:cs="仿宋_GB2312"/>
                <w:color w:val="000000"/>
                <w:kern w:val="0"/>
                <w:sz w:val="18"/>
                <w:szCs w:val="18"/>
                <w:lang w:val="en-US" w:eastAsia="zh-CN"/>
              </w:rPr>
              <w:t>/</w:t>
            </w:r>
            <w:r>
              <w:rPr>
                <w:rFonts w:hint="eastAsia" w:ascii="仿宋_GB2312" w:hAnsi="仿宋_GB2312" w:eastAsia="仿宋_GB2312" w:cs="仿宋_GB2312"/>
                <w:color w:val="000000"/>
                <w:kern w:val="0"/>
                <w:sz w:val="18"/>
                <w:szCs w:val="18"/>
              </w:rPr>
              <w:t>实木框架</w:t>
            </w:r>
            <w:r>
              <w:rPr>
                <w:rFonts w:hint="eastAsia" w:ascii="仿宋_GB2312" w:hAnsi="仿宋_GB2312" w:eastAsia="仿宋_GB2312" w:cs="仿宋_GB2312"/>
                <w:color w:val="000000"/>
                <w:kern w:val="0"/>
                <w:sz w:val="18"/>
                <w:szCs w:val="18"/>
                <w:lang w:val="en-US" w:eastAsia="zh-CN"/>
              </w:rPr>
              <w:t>及</w:t>
            </w:r>
            <w:r>
              <w:rPr>
                <w:rFonts w:hint="eastAsia" w:ascii="仿宋_GB2312" w:hAnsi="仿宋_GB2312" w:eastAsia="仿宋_GB2312" w:cs="仿宋_GB2312"/>
                <w:color w:val="000000"/>
                <w:kern w:val="0"/>
                <w:sz w:val="18"/>
                <w:szCs w:val="18"/>
              </w:rPr>
              <w:t>沙发脚</w:t>
            </w:r>
            <w:r>
              <w:rPr>
                <w:rFonts w:hint="eastAsia" w:ascii="仿宋_GB2312" w:hAnsi="仿宋_GB2312" w:eastAsia="仿宋_GB2312" w:cs="仿宋_GB2312"/>
                <w:color w:val="000000"/>
                <w:kern w:val="0"/>
                <w:sz w:val="18"/>
                <w:szCs w:val="18"/>
                <w:lang w:val="en-US" w:eastAsia="zh-CN"/>
              </w:rPr>
              <w:t>，底部加装防滑静音脚垫</w:t>
            </w:r>
          </w:p>
        </w:tc>
      </w:tr>
      <w:tr w14:paraId="56FD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trPr>
        <w:tc>
          <w:tcPr>
            <w:tcW w:w="846" w:type="dxa"/>
            <w:shd w:val="clear" w:color="auto" w:fill="auto"/>
            <w:vAlign w:val="center"/>
          </w:tcPr>
          <w:p w14:paraId="2EDC0BE4">
            <w:pPr>
              <w:keepNext w:val="0"/>
              <w:keepLines w:val="0"/>
              <w:widowControl/>
              <w:suppressLineNumbers w:val="0"/>
              <w:jc w:val="center"/>
              <w:textAlignment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2</w:t>
            </w:r>
          </w:p>
        </w:tc>
        <w:tc>
          <w:tcPr>
            <w:tcW w:w="1406" w:type="dxa"/>
            <w:shd w:val="clear" w:color="auto" w:fill="auto"/>
            <w:vAlign w:val="center"/>
          </w:tcPr>
          <w:p w14:paraId="022C0B2A">
            <w:pPr>
              <w:keepNext w:val="0"/>
              <w:keepLines w:val="0"/>
              <w:widowControl/>
              <w:suppressLineNumbers w:val="0"/>
              <w:jc w:val="center"/>
              <w:textAlignment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单人沙发</w:t>
            </w:r>
          </w:p>
        </w:tc>
        <w:tc>
          <w:tcPr>
            <w:tcW w:w="6180" w:type="dxa"/>
            <w:vMerge w:val="restart"/>
            <w:shd w:val="clear" w:color="auto" w:fill="auto"/>
            <w:vAlign w:val="center"/>
          </w:tcPr>
          <w:p w14:paraId="2B672AD3">
            <w:pPr>
              <w:widowControl/>
              <w:jc w:val="left"/>
              <w:textAlignment w:val="center"/>
              <w:rPr>
                <w:rFonts w:hint="default" w:ascii="仿宋_GB2312" w:hAnsi="仿宋_GB2312" w:eastAsia="仿宋_GB2312" w:cs="仿宋_GB2312"/>
                <w:color w:val="000000"/>
                <w:kern w:val="0"/>
                <w:sz w:val="18"/>
                <w:szCs w:val="18"/>
                <w:lang w:val="en-US" w:eastAsia="zh-CN"/>
              </w:rPr>
            </w:pPr>
            <w:r>
              <w:rPr>
                <w:rFonts w:hint="eastAsia" w:ascii="仿宋_GB2312" w:hAnsi="仿宋_GB2312" w:eastAsia="仿宋_GB2312" w:cs="仿宋_GB2312"/>
                <w:color w:val="000000"/>
                <w:kern w:val="0"/>
                <w:sz w:val="18"/>
                <w:szCs w:val="18"/>
                <w:lang w:val="en-US" w:eastAsia="zh-CN"/>
              </w:rPr>
              <w:t>1.外形尺寸</w:t>
            </w:r>
            <w:r>
              <w:rPr>
                <w:rFonts w:hint="eastAsia" w:ascii="仿宋_GB2312" w:hAnsi="仿宋_GB2312" w:eastAsia="仿宋_GB2312" w:cs="仿宋_GB2312"/>
                <w:color w:val="000000"/>
                <w:kern w:val="0"/>
                <w:sz w:val="22"/>
                <w:szCs w:val="22"/>
              </w:rPr>
              <w:t>mm</w:t>
            </w:r>
            <w:r>
              <w:rPr>
                <w:rFonts w:hint="eastAsia" w:ascii="仿宋_GB2312" w:hAnsi="仿宋_GB2312" w:eastAsia="仿宋_GB2312" w:cs="仿宋_GB2312"/>
                <w:color w:val="000000"/>
                <w:kern w:val="0"/>
                <w:sz w:val="18"/>
                <w:szCs w:val="18"/>
                <w:lang w:val="en-US" w:eastAsia="zh-CN"/>
              </w:rPr>
              <w:t>：常规标准，可按现场定制</w:t>
            </w:r>
          </w:p>
          <w:p w14:paraId="1661453F">
            <w:pPr>
              <w:widowControl/>
              <w:jc w:val="left"/>
              <w:textAlignment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lang w:val="en-US" w:eastAsia="zh-CN"/>
              </w:rPr>
              <w:t>2.面料</w:t>
            </w:r>
            <w:r>
              <w:rPr>
                <w:rFonts w:hint="eastAsia" w:ascii="仿宋_GB2312" w:hAnsi="仿宋_GB2312" w:eastAsia="仿宋_GB2312" w:cs="仿宋_GB2312"/>
                <w:color w:val="000000"/>
                <w:kern w:val="0"/>
                <w:sz w:val="18"/>
                <w:szCs w:val="18"/>
              </w:rPr>
              <w:t>：环保优质加厚超纤皮面覆面</w:t>
            </w:r>
            <w:r>
              <w:rPr>
                <w:rFonts w:hint="eastAsia" w:ascii="仿宋_GB2312" w:hAnsi="仿宋_GB2312" w:eastAsia="仿宋_GB2312" w:cs="仿宋_GB2312"/>
                <w:color w:val="000000"/>
                <w:kern w:val="0"/>
                <w:sz w:val="18"/>
                <w:szCs w:val="18"/>
                <w:lang w:eastAsia="zh-CN"/>
              </w:rPr>
              <w:t>，致密不渗水，耐擦洗、便于日常消杀</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lang w:val="en-US" w:eastAsia="zh-CN"/>
              </w:rPr>
              <w:t>3.</w:t>
            </w:r>
            <w:r>
              <w:rPr>
                <w:rFonts w:hint="eastAsia" w:ascii="仿宋_GB2312" w:hAnsi="仿宋_GB2312" w:eastAsia="仿宋_GB2312" w:cs="仿宋_GB2312"/>
                <w:color w:val="000000"/>
                <w:kern w:val="0"/>
                <w:sz w:val="18"/>
                <w:szCs w:val="18"/>
              </w:rPr>
              <w:t>衬垫层：优质环保型高回弹PU泡棉，座密度</w:t>
            </w:r>
            <w:r>
              <w:rPr>
                <w:rFonts w:hint="eastAsia" w:ascii="仿宋_GB2312" w:hAnsi="仿宋_GB2312" w:eastAsia="仿宋_GB2312" w:cs="仿宋_GB2312"/>
                <w:color w:val="000000"/>
                <w:kern w:val="0"/>
                <w:sz w:val="18"/>
                <w:szCs w:val="18"/>
                <w:lang w:eastAsia="zh-CN"/>
              </w:rPr>
              <w:t>、</w:t>
            </w:r>
            <w:r>
              <w:rPr>
                <w:rFonts w:hint="eastAsia" w:ascii="仿宋_GB2312" w:hAnsi="仿宋_GB2312" w:eastAsia="仿宋_GB2312" w:cs="仿宋_GB2312"/>
                <w:color w:val="000000"/>
                <w:kern w:val="0"/>
                <w:sz w:val="18"/>
                <w:szCs w:val="18"/>
                <w:lang w:val="en-US" w:eastAsia="zh-CN"/>
              </w:rPr>
              <w:t>靠</w:t>
            </w:r>
            <w:r>
              <w:rPr>
                <w:rFonts w:hint="eastAsia" w:ascii="仿宋_GB2312" w:hAnsi="仿宋_GB2312" w:eastAsia="仿宋_GB2312" w:cs="仿宋_GB2312"/>
                <w:color w:val="000000"/>
                <w:kern w:val="0"/>
                <w:sz w:val="18"/>
                <w:szCs w:val="18"/>
              </w:rPr>
              <w:t>背密度</w:t>
            </w:r>
            <w:r>
              <w:rPr>
                <w:rFonts w:hint="eastAsia" w:ascii="仿宋_GB2312" w:hAnsi="仿宋_GB2312" w:eastAsia="仿宋_GB2312" w:cs="仿宋_GB2312"/>
                <w:color w:val="000000"/>
                <w:kern w:val="0"/>
                <w:sz w:val="18"/>
                <w:szCs w:val="18"/>
                <w:lang w:val="en-US" w:eastAsia="zh-CN"/>
              </w:rPr>
              <w:t>≥</w:t>
            </w:r>
            <w:r>
              <w:rPr>
                <w:rFonts w:hint="eastAsia" w:ascii="仿宋_GB2312" w:hAnsi="仿宋_GB2312" w:eastAsia="仿宋_GB2312" w:cs="仿宋_GB2312"/>
                <w:color w:val="000000"/>
                <w:kern w:val="0"/>
                <w:sz w:val="18"/>
                <w:szCs w:val="18"/>
              </w:rPr>
              <w:t>45kg/m³，要求软硬适中、持久回弹，长期使用不易塌陷，无异味，符合环保标准</w:t>
            </w:r>
            <w:r>
              <w:rPr>
                <w:rFonts w:hint="eastAsia" w:ascii="仿宋_GB2312" w:hAnsi="仿宋_GB2312" w:eastAsia="仿宋_GB2312" w:cs="仿宋_GB2312"/>
                <w:color w:val="000000"/>
                <w:kern w:val="0"/>
                <w:sz w:val="18"/>
                <w:szCs w:val="18"/>
                <w:lang w:eastAsia="zh-CN"/>
              </w:rPr>
              <w:t>，</w:t>
            </w:r>
            <w:r>
              <w:rPr>
                <w:rFonts w:hint="eastAsia" w:ascii="仿宋_GB2312" w:hAnsi="仿宋_GB2312" w:eastAsia="仿宋_GB2312" w:cs="仿宋_GB2312"/>
                <w:color w:val="000000"/>
                <w:kern w:val="0"/>
                <w:sz w:val="18"/>
                <w:szCs w:val="18"/>
                <w:lang w:val="en-US" w:eastAsia="zh-CN"/>
              </w:rPr>
              <w:t>颜色可选</w:t>
            </w:r>
          </w:p>
          <w:p w14:paraId="0F8E65A4">
            <w:pPr>
              <w:widowControl/>
              <w:jc w:val="left"/>
              <w:textAlignment w:val="center"/>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kern w:val="0"/>
                <w:sz w:val="18"/>
                <w:szCs w:val="18"/>
                <w:lang w:val="en-US" w:eastAsia="zh-CN"/>
              </w:rPr>
              <w:t>4.框架</w:t>
            </w:r>
            <w:r>
              <w:rPr>
                <w:rFonts w:hint="eastAsia" w:ascii="仿宋_GB2312" w:hAnsi="仿宋_GB2312" w:eastAsia="仿宋_GB2312" w:cs="仿宋_GB2312"/>
                <w:color w:val="000000"/>
                <w:kern w:val="0"/>
                <w:sz w:val="18"/>
                <w:szCs w:val="18"/>
              </w:rPr>
              <w:t>：蛇簧和尼龙绷带穿插“井”字形编织打底，保证受力均匀，提高结构稳定性</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lang w:val="en-US" w:eastAsia="zh-CN"/>
              </w:rPr>
              <w:t>5.</w:t>
            </w:r>
            <w:r>
              <w:rPr>
                <w:rFonts w:hint="eastAsia" w:ascii="仿宋_GB2312" w:hAnsi="仿宋_GB2312" w:eastAsia="仿宋_GB2312" w:cs="仿宋_GB2312"/>
                <w:color w:val="000000"/>
                <w:kern w:val="0"/>
                <w:sz w:val="18"/>
                <w:szCs w:val="18"/>
              </w:rPr>
              <w:t>椅脚：钢制</w:t>
            </w:r>
            <w:r>
              <w:rPr>
                <w:rFonts w:hint="eastAsia" w:ascii="仿宋_GB2312" w:hAnsi="仿宋_GB2312" w:eastAsia="仿宋_GB2312" w:cs="仿宋_GB2312"/>
                <w:color w:val="000000"/>
                <w:kern w:val="0"/>
                <w:sz w:val="18"/>
                <w:szCs w:val="18"/>
                <w:lang w:val="en-US" w:eastAsia="zh-CN"/>
              </w:rPr>
              <w:t>/</w:t>
            </w:r>
            <w:r>
              <w:rPr>
                <w:rFonts w:hint="eastAsia" w:ascii="仿宋_GB2312" w:hAnsi="仿宋_GB2312" w:eastAsia="仿宋_GB2312" w:cs="仿宋_GB2312"/>
                <w:color w:val="000000"/>
                <w:kern w:val="0"/>
                <w:sz w:val="18"/>
                <w:szCs w:val="18"/>
              </w:rPr>
              <w:t>实木框架及沙发脚</w:t>
            </w:r>
            <w:r>
              <w:rPr>
                <w:rFonts w:hint="eastAsia" w:ascii="仿宋_GB2312" w:hAnsi="仿宋_GB2312" w:eastAsia="仿宋_GB2312" w:cs="仿宋_GB2312"/>
                <w:color w:val="000000"/>
                <w:kern w:val="0"/>
                <w:sz w:val="18"/>
                <w:szCs w:val="18"/>
                <w:lang w:eastAsia="zh-CN"/>
              </w:rPr>
              <w:t>，底部加装防滑静音脚垫</w:t>
            </w:r>
          </w:p>
        </w:tc>
      </w:tr>
      <w:tr w14:paraId="0FFC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846" w:type="dxa"/>
            <w:shd w:val="clear" w:color="auto" w:fill="auto"/>
            <w:vAlign w:val="center"/>
          </w:tcPr>
          <w:p w14:paraId="3DF4EAB8">
            <w:pPr>
              <w:keepNext w:val="0"/>
              <w:keepLines w:val="0"/>
              <w:widowControl/>
              <w:suppressLineNumbers w:val="0"/>
              <w:jc w:val="center"/>
              <w:textAlignment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3</w:t>
            </w:r>
          </w:p>
        </w:tc>
        <w:tc>
          <w:tcPr>
            <w:tcW w:w="1406" w:type="dxa"/>
            <w:shd w:val="clear" w:color="auto" w:fill="auto"/>
            <w:vAlign w:val="center"/>
          </w:tcPr>
          <w:p w14:paraId="297E00D1">
            <w:pPr>
              <w:keepNext w:val="0"/>
              <w:keepLines w:val="0"/>
              <w:widowControl/>
              <w:suppressLineNumbers w:val="0"/>
              <w:jc w:val="center"/>
              <w:textAlignment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三人沙发</w:t>
            </w:r>
          </w:p>
        </w:tc>
        <w:tc>
          <w:tcPr>
            <w:tcW w:w="6180" w:type="dxa"/>
            <w:vMerge w:val="continue"/>
            <w:shd w:val="clear" w:color="auto" w:fill="auto"/>
            <w:vAlign w:val="center"/>
          </w:tcPr>
          <w:p w14:paraId="6D7FB583">
            <w:pPr>
              <w:widowControl/>
              <w:jc w:val="left"/>
              <w:textAlignment w:val="center"/>
              <w:rPr>
                <w:rFonts w:hint="eastAsia" w:ascii="仿宋_GB2312" w:hAnsi="仿宋_GB2312" w:eastAsia="仿宋_GB2312" w:cs="仿宋_GB2312"/>
                <w:color w:val="000000" w:themeColor="text1"/>
                <w:kern w:val="2"/>
                <w14:textFill>
                  <w14:solidFill>
                    <w14:schemeClr w14:val="tx1"/>
                  </w14:solidFill>
                </w14:textFill>
              </w:rPr>
            </w:pPr>
          </w:p>
        </w:tc>
      </w:tr>
      <w:tr w14:paraId="2FEA3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46" w:type="dxa"/>
            <w:shd w:val="clear" w:color="auto" w:fill="auto"/>
            <w:vAlign w:val="center"/>
          </w:tcPr>
          <w:p w14:paraId="725A4E40">
            <w:pPr>
              <w:keepNext w:val="0"/>
              <w:keepLines w:val="0"/>
              <w:widowControl/>
              <w:suppressLineNumbers w:val="0"/>
              <w:jc w:val="center"/>
              <w:textAlignment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4</w:t>
            </w:r>
          </w:p>
        </w:tc>
        <w:tc>
          <w:tcPr>
            <w:tcW w:w="1406" w:type="dxa"/>
            <w:shd w:val="clear" w:color="auto" w:fill="auto"/>
            <w:vAlign w:val="center"/>
          </w:tcPr>
          <w:p w14:paraId="3C708B9A">
            <w:pPr>
              <w:keepNext w:val="0"/>
              <w:keepLines w:val="0"/>
              <w:widowControl/>
              <w:suppressLineNumbers w:val="0"/>
              <w:jc w:val="center"/>
              <w:textAlignment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大茶几</w:t>
            </w:r>
          </w:p>
        </w:tc>
        <w:tc>
          <w:tcPr>
            <w:tcW w:w="6180" w:type="dxa"/>
            <w:shd w:val="clear" w:color="auto" w:fill="auto"/>
            <w:vAlign w:val="center"/>
          </w:tcPr>
          <w:p w14:paraId="6A2182CD">
            <w:pPr>
              <w:widowControl/>
              <w:jc w:val="left"/>
              <w:textAlignment w:val="center"/>
              <w:rPr>
                <w:rFonts w:hint="eastAsia" w:ascii="仿宋_GB2312" w:hAnsi="仿宋_GB2312" w:eastAsia="仿宋_GB2312" w:cs="仿宋_GB2312"/>
                <w:color w:val="000000"/>
                <w:kern w:val="0"/>
                <w:sz w:val="18"/>
                <w:szCs w:val="18"/>
                <w:lang w:val="en-US" w:eastAsia="zh-CN"/>
              </w:rPr>
            </w:pPr>
            <w:r>
              <w:rPr>
                <w:rFonts w:hint="eastAsia" w:ascii="仿宋_GB2312" w:hAnsi="仿宋_GB2312" w:eastAsia="仿宋_GB2312" w:cs="仿宋_GB2312"/>
                <w:color w:val="000000"/>
                <w:kern w:val="0"/>
                <w:sz w:val="18"/>
                <w:szCs w:val="18"/>
                <w:lang w:val="en-US" w:eastAsia="zh-CN"/>
              </w:rPr>
              <w:t>1.尺寸</w:t>
            </w:r>
            <w:r>
              <w:rPr>
                <w:rFonts w:hint="eastAsia" w:ascii="仿宋_GB2312" w:hAnsi="仿宋_GB2312" w:eastAsia="仿宋_GB2312" w:cs="仿宋_GB2312"/>
                <w:color w:val="000000"/>
                <w:kern w:val="0"/>
                <w:sz w:val="22"/>
                <w:szCs w:val="22"/>
              </w:rPr>
              <w:t>mm</w:t>
            </w:r>
            <w:r>
              <w:rPr>
                <w:rFonts w:hint="eastAsia" w:ascii="仿宋_GB2312" w:hAnsi="仿宋_GB2312" w:eastAsia="仿宋_GB2312" w:cs="仿宋_GB2312"/>
                <w:color w:val="000000"/>
                <w:kern w:val="0"/>
                <w:sz w:val="18"/>
                <w:szCs w:val="18"/>
                <w:lang w:val="en-US" w:eastAsia="zh-CN"/>
              </w:rPr>
              <w:t>(长*宽*高)：1200*700*550，可允许偏差 ±5mm</w:t>
            </w:r>
          </w:p>
          <w:p w14:paraId="59C5F03A">
            <w:pPr>
              <w:widowControl/>
              <w:jc w:val="left"/>
              <w:textAlignment w:val="center"/>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kern w:val="0"/>
                <w:sz w:val="18"/>
                <w:szCs w:val="18"/>
                <w:lang w:val="en-US" w:eastAsia="zh-CN"/>
              </w:rPr>
              <w:t>2.</w:t>
            </w:r>
            <w:r>
              <w:rPr>
                <w:rFonts w:hint="eastAsia" w:ascii="仿宋_GB2312" w:hAnsi="仿宋_GB2312" w:eastAsia="仿宋_GB2312" w:cs="仿宋_GB2312"/>
                <w:color w:val="000000"/>
                <w:kern w:val="0"/>
                <w:sz w:val="18"/>
                <w:szCs w:val="18"/>
              </w:rPr>
              <w:t>台面</w:t>
            </w:r>
            <w:r>
              <w:rPr>
                <w:rFonts w:hint="eastAsia" w:ascii="仿宋_GB2312" w:hAnsi="仿宋_GB2312" w:eastAsia="仿宋_GB2312" w:cs="仿宋_GB2312"/>
                <w:color w:val="000000"/>
                <w:kern w:val="0"/>
                <w:sz w:val="18"/>
                <w:szCs w:val="18"/>
                <w:lang w:eastAsia="zh-CN"/>
              </w:rPr>
              <w:t>：</w:t>
            </w:r>
            <w:r>
              <w:rPr>
                <w:rFonts w:hint="eastAsia" w:ascii="仿宋_GB2312" w:hAnsi="仿宋_GB2312" w:eastAsia="仿宋_GB2312" w:cs="仿宋_GB2312"/>
                <w:color w:val="000000"/>
                <w:kern w:val="0"/>
                <w:sz w:val="18"/>
                <w:szCs w:val="18"/>
              </w:rPr>
              <w:t>环保E0级优质实木多层板为基材，实木木皮贴面</w:t>
            </w:r>
            <w:r>
              <w:rPr>
                <w:rFonts w:hint="eastAsia" w:ascii="仿宋_GB2312" w:hAnsi="仿宋_GB2312" w:eastAsia="仿宋_GB2312" w:cs="仿宋_GB2312"/>
                <w:color w:val="000000"/>
                <w:kern w:val="0"/>
                <w:sz w:val="18"/>
                <w:szCs w:val="18"/>
                <w:lang w:val="en-US" w:eastAsia="zh-CN"/>
              </w:rPr>
              <w:t>封边</w:t>
            </w:r>
            <w:r>
              <w:rPr>
                <w:rFonts w:hint="eastAsia" w:ascii="仿宋_GB2312" w:hAnsi="仿宋_GB2312" w:eastAsia="仿宋_GB2312" w:cs="仿宋_GB2312"/>
                <w:color w:val="000000"/>
                <w:kern w:val="0"/>
                <w:sz w:val="18"/>
                <w:szCs w:val="18"/>
              </w:rPr>
              <w:t>，环保水性油漆，台面可选择石材台面</w:t>
            </w:r>
            <w:r>
              <w:rPr>
                <w:rFonts w:hint="eastAsia" w:ascii="仿宋_GB2312" w:hAnsi="仿宋_GB2312" w:eastAsia="仿宋_GB2312" w:cs="仿宋_GB2312"/>
                <w:color w:val="000000"/>
                <w:kern w:val="0"/>
                <w:sz w:val="18"/>
                <w:szCs w:val="18"/>
                <w:lang w:eastAsia="zh-CN"/>
              </w:rPr>
              <w:t>，</w:t>
            </w:r>
            <w:r>
              <w:rPr>
                <w:rFonts w:hint="eastAsia" w:ascii="仿宋_GB2312" w:hAnsi="仿宋_GB2312" w:eastAsia="仿宋_GB2312" w:cs="仿宋_GB2312"/>
                <w:color w:val="000000"/>
                <w:kern w:val="0"/>
                <w:sz w:val="18"/>
                <w:szCs w:val="18"/>
                <w:lang w:val="en-US" w:eastAsia="zh-CN"/>
              </w:rPr>
              <w:t>颜色可选</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lang w:val="en-US" w:eastAsia="zh-CN"/>
              </w:rPr>
              <w:t>3.</w:t>
            </w:r>
            <w:r>
              <w:rPr>
                <w:rFonts w:hint="eastAsia" w:ascii="仿宋_GB2312" w:hAnsi="仿宋_GB2312" w:eastAsia="仿宋_GB2312" w:cs="仿宋_GB2312"/>
                <w:color w:val="000000"/>
                <w:kern w:val="0"/>
                <w:sz w:val="18"/>
                <w:szCs w:val="18"/>
              </w:rPr>
              <w:t xml:space="preserve">桌腿：优质钢制造型茶几脚  </w:t>
            </w:r>
          </w:p>
        </w:tc>
      </w:tr>
      <w:tr w14:paraId="0E017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46" w:type="dxa"/>
            <w:shd w:val="clear" w:color="auto" w:fill="auto"/>
            <w:vAlign w:val="center"/>
          </w:tcPr>
          <w:p w14:paraId="5B66214F">
            <w:pPr>
              <w:keepNext w:val="0"/>
              <w:keepLines w:val="0"/>
              <w:widowControl/>
              <w:suppressLineNumbers w:val="0"/>
              <w:jc w:val="center"/>
              <w:textAlignment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5</w:t>
            </w:r>
          </w:p>
        </w:tc>
        <w:tc>
          <w:tcPr>
            <w:tcW w:w="1406" w:type="dxa"/>
            <w:shd w:val="clear" w:color="auto" w:fill="auto"/>
            <w:vAlign w:val="center"/>
          </w:tcPr>
          <w:p w14:paraId="5AC21D46">
            <w:pPr>
              <w:keepNext w:val="0"/>
              <w:keepLines w:val="0"/>
              <w:widowControl/>
              <w:suppressLineNumbers w:val="0"/>
              <w:jc w:val="center"/>
              <w:textAlignment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低吧台</w:t>
            </w:r>
          </w:p>
        </w:tc>
        <w:tc>
          <w:tcPr>
            <w:tcW w:w="6180" w:type="dxa"/>
            <w:shd w:val="clear" w:color="auto" w:fill="auto"/>
            <w:vAlign w:val="center"/>
          </w:tcPr>
          <w:p w14:paraId="1DCCE18E">
            <w:pPr>
              <w:widowControl/>
              <w:jc w:val="left"/>
              <w:textAlignment w:val="center"/>
              <w:rPr>
                <w:rFonts w:hint="eastAsia" w:ascii="仿宋_GB2312" w:hAnsi="仿宋_GB2312" w:eastAsia="仿宋_GB2312" w:cs="仿宋_GB2312"/>
                <w:color w:val="000000"/>
                <w:kern w:val="0"/>
                <w:sz w:val="18"/>
                <w:szCs w:val="18"/>
                <w:lang w:val="en-US" w:eastAsia="zh-CN"/>
              </w:rPr>
            </w:pPr>
            <w:r>
              <w:rPr>
                <w:rFonts w:hint="eastAsia" w:ascii="仿宋_GB2312" w:hAnsi="仿宋_GB2312" w:eastAsia="仿宋_GB2312" w:cs="仿宋_GB2312"/>
                <w:color w:val="000000"/>
                <w:kern w:val="0"/>
                <w:sz w:val="18"/>
                <w:szCs w:val="18"/>
                <w:lang w:val="en-US" w:eastAsia="zh-CN"/>
              </w:rPr>
              <w:t>1.尺寸</w:t>
            </w:r>
            <w:r>
              <w:rPr>
                <w:rFonts w:hint="eastAsia" w:ascii="仿宋_GB2312" w:hAnsi="仿宋_GB2312" w:eastAsia="仿宋_GB2312" w:cs="仿宋_GB2312"/>
                <w:color w:val="000000"/>
                <w:kern w:val="0"/>
                <w:sz w:val="22"/>
                <w:szCs w:val="22"/>
              </w:rPr>
              <w:t>mm</w:t>
            </w:r>
            <w:r>
              <w:rPr>
                <w:rFonts w:hint="eastAsia" w:ascii="仿宋_GB2312" w:hAnsi="仿宋_GB2312" w:eastAsia="仿宋_GB2312" w:cs="仿宋_GB2312"/>
                <w:color w:val="000000"/>
                <w:kern w:val="0"/>
                <w:sz w:val="18"/>
                <w:szCs w:val="18"/>
                <w:lang w:val="en-US" w:eastAsia="zh-CN"/>
              </w:rPr>
              <w:t>(长*宽*高)：7000*500*800，可允许偏差 ±5mm</w:t>
            </w:r>
          </w:p>
          <w:p w14:paraId="7EBD8B96">
            <w:pPr>
              <w:widowControl/>
              <w:jc w:val="left"/>
              <w:textAlignment w:val="center"/>
              <w:rPr>
                <w:rFonts w:hint="eastAsia" w:ascii="仿宋_GB2312" w:hAnsi="仿宋_GB2312" w:eastAsia="仿宋_GB2312" w:cs="仿宋_GB2312"/>
                <w:color w:val="000000"/>
                <w:kern w:val="0"/>
                <w:sz w:val="18"/>
                <w:szCs w:val="18"/>
                <w:lang w:eastAsia="zh-CN"/>
              </w:rPr>
            </w:pPr>
            <w:r>
              <w:rPr>
                <w:rFonts w:hint="eastAsia" w:ascii="仿宋_GB2312" w:hAnsi="仿宋_GB2312" w:eastAsia="仿宋_GB2312" w:cs="仿宋_GB2312"/>
                <w:color w:val="000000"/>
                <w:kern w:val="0"/>
                <w:sz w:val="18"/>
                <w:szCs w:val="18"/>
                <w:lang w:val="en-US" w:eastAsia="zh-CN"/>
              </w:rPr>
              <w:t>2.</w:t>
            </w:r>
            <w:r>
              <w:rPr>
                <w:rFonts w:hint="eastAsia" w:ascii="仿宋_GB2312" w:hAnsi="仿宋_GB2312" w:eastAsia="仿宋_GB2312" w:cs="仿宋_GB2312"/>
                <w:color w:val="000000"/>
                <w:kern w:val="0"/>
                <w:sz w:val="18"/>
                <w:szCs w:val="18"/>
              </w:rPr>
              <w:t>材质：环保E0级优质实木板，环保油漆，加厚台面，结合现场订制</w:t>
            </w:r>
            <w:r>
              <w:rPr>
                <w:rFonts w:hint="eastAsia" w:ascii="仿宋_GB2312" w:hAnsi="仿宋_GB2312" w:eastAsia="仿宋_GB2312" w:cs="仿宋_GB2312"/>
                <w:color w:val="000000"/>
                <w:kern w:val="0"/>
                <w:sz w:val="18"/>
                <w:szCs w:val="18"/>
                <w:lang w:eastAsia="zh-CN"/>
              </w:rPr>
              <w:t>，</w:t>
            </w:r>
            <w:r>
              <w:rPr>
                <w:rFonts w:hint="eastAsia" w:ascii="仿宋_GB2312" w:hAnsi="仿宋_GB2312" w:eastAsia="仿宋_GB2312" w:cs="仿宋_GB2312"/>
                <w:color w:val="000000"/>
                <w:kern w:val="0"/>
                <w:sz w:val="18"/>
                <w:szCs w:val="18"/>
                <w:lang w:val="en-US" w:eastAsia="zh-CN"/>
              </w:rPr>
              <w:t>颜色可选</w:t>
            </w:r>
          </w:p>
          <w:p w14:paraId="74192C1B">
            <w:pPr>
              <w:widowControl/>
              <w:jc w:val="left"/>
              <w:textAlignment w:val="center"/>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kern w:val="0"/>
                <w:sz w:val="18"/>
                <w:szCs w:val="18"/>
                <w:lang w:val="en-US" w:eastAsia="zh-CN"/>
              </w:rPr>
              <w:t>3.支架静电喷涂防锈处理，承重稳定，不易晃动，</w:t>
            </w:r>
            <w:r>
              <w:rPr>
                <w:rFonts w:hint="eastAsia" w:ascii="仿宋_GB2312" w:hAnsi="仿宋_GB2312" w:eastAsia="仿宋_GB2312" w:cs="仿宋_GB2312"/>
                <w:color w:val="000000"/>
                <w:kern w:val="0"/>
                <w:sz w:val="18"/>
                <w:szCs w:val="18"/>
              </w:rPr>
              <w:t>桌腿钢制造型桌脚</w:t>
            </w:r>
            <w:r>
              <w:rPr>
                <w:rFonts w:hint="eastAsia" w:ascii="仿宋_GB2312" w:hAnsi="仿宋_GB2312" w:eastAsia="仿宋_GB2312" w:cs="仿宋_GB2312"/>
                <w:color w:val="000000"/>
                <w:kern w:val="0"/>
                <w:sz w:val="18"/>
                <w:szCs w:val="18"/>
                <w:lang w:eastAsia="zh-CN"/>
              </w:rPr>
              <w:t>，</w:t>
            </w:r>
            <w:r>
              <w:rPr>
                <w:rFonts w:hint="eastAsia" w:ascii="仿宋_GB2312" w:hAnsi="仿宋_GB2312" w:eastAsia="仿宋_GB2312" w:cs="仿宋_GB2312"/>
                <w:color w:val="000000"/>
                <w:kern w:val="0"/>
                <w:sz w:val="18"/>
                <w:szCs w:val="18"/>
              </w:rPr>
              <w:t>美观耐用</w:t>
            </w:r>
          </w:p>
        </w:tc>
      </w:tr>
      <w:tr w14:paraId="2427A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shd w:val="clear" w:color="auto" w:fill="auto"/>
            <w:vAlign w:val="center"/>
          </w:tcPr>
          <w:p w14:paraId="3D65A26A">
            <w:pPr>
              <w:keepNext w:val="0"/>
              <w:keepLines w:val="0"/>
              <w:widowControl/>
              <w:suppressLineNumbers w:val="0"/>
              <w:jc w:val="center"/>
              <w:textAlignment w:val="center"/>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6</w:t>
            </w:r>
          </w:p>
        </w:tc>
        <w:tc>
          <w:tcPr>
            <w:tcW w:w="1406" w:type="dxa"/>
            <w:shd w:val="clear" w:color="auto" w:fill="auto"/>
            <w:vAlign w:val="center"/>
          </w:tcPr>
          <w:p w14:paraId="5FE0A697">
            <w:pPr>
              <w:keepNext w:val="0"/>
              <w:keepLines w:val="0"/>
              <w:widowControl/>
              <w:suppressLineNumbers w:val="0"/>
              <w:jc w:val="center"/>
              <w:textAlignment w:val="center"/>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餐桌</w:t>
            </w:r>
          </w:p>
        </w:tc>
        <w:tc>
          <w:tcPr>
            <w:tcW w:w="6180" w:type="dxa"/>
            <w:shd w:val="clear" w:color="auto" w:fill="auto"/>
            <w:vAlign w:val="center"/>
          </w:tcPr>
          <w:p w14:paraId="444A913D">
            <w:pPr>
              <w:widowControl/>
              <w:jc w:val="left"/>
              <w:textAlignment w:val="center"/>
              <w:rPr>
                <w:rFonts w:hint="eastAsia" w:ascii="仿宋_GB2312" w:hAnsi="仿宋_GB2312" w:eastAsia="仿宋_GB2312" w:cs="仿宋_GB2312"/>
                <w:color w:val="000000"/>
                <w:kern w:val="0"/>
                <w:sz w:val="18"/>
                <w:szCs w:val="18"/>
                <w:lang w:val="en-US" w:eastAsia="zh-CN"/>
              </w:rPr>
            </w:pPr>
            <w:r>
              <w:rPr>
                <w:rFonts w:hint="eastAsia" w:ascii="仿宋_GB2312" w:hAnsi="仿宋_GB2312" w:eastAsia="仿宋_GB2312" w:cs="仿宋_GB2312"/>
                <w:color w:val="000000"/>
                <w:kern w:val="0"/>
                <w:sz w:val="18"/>
                <w:szCs w:val="18"/>
                <w:lang w:val="en-US" w:eastAsia="zh-CN"/>
              </w:rPr>
              <w:t>1.尺寸</w:t>
            </w:r>
            <w:r>
              <w:rPr>
                <w:rFonts w:hint="eastAsia" w:ascii="仿宋_GB2312" w:hAnsi="仿宋_GB2312" w:eastAsia="仿宋_GB2312" w:cs="仿宋_GB2312"/>
                <w:color w:val="000000"/>
                <w:kern w:val="0"/>
                <w:sz w:val="22"/>
                <w:szCs w:val="22"/>
              </w:rPr>
              <w:t>mm</w:t>
            </w:r>
            <w:r>
              <w:rPr>
                <w:rFonts w:hint="eastAsia" w:ascii="仿宋_GB2312" w:hAnsi="仿宋_GB2312" w:eastAsia="仿宋_GB2312" w:cs="仿宋_GB2312"/>
                <w:color w:val="000000"/>
                <w:kern w:val="0"/>
                <w:sz w:val="18"/>
                <w:szCs w:val="18"/>
                <w:lang w:val="en-US" w:eastAsia="zh-CN"/>
              </w:rPr>
              <w:t>(长*宽*高)：1400*700*760，可允许偏差 ±5mm</w:t>
            </w:r>
          </w:p>
          <w:p w14:paraId="09F42666">
            <w:pPr>
              <w:widowControl/>
              <w:jc w:val="left"/>
              <w:textAlignment w:val="center"/>
              <w:rPr>
                <w:rFonts w:hint="eastAsia" w:ascii="仿宋_GB2312" w:hAnsi="仿宋_GB2312" w:eastAsia="仿宋_GB2312" w:cs="仿宋_GB2312"/>
                <w:color w:val="000000" w:themeColor="text1"/>
                <w:kern w:val="2"/>
                <w:sz w:val="21"/>
                <w:szCs w:val="24"/>
                <w:lang w:val="en-US" w:eastAsia="zh-CN" w:bidi="ar-SA"/>
                <w14:textFill>
                  <w14:solidFill>
                    <w14:schemeClr w14:val="tx1"/>
                  </w14:solidFill>
                </w14:textFill>
              </w:rPr>
            </w:pPr>
            <w:r>
              <w:rPr>
                <w:rFonts w:hint="eastAsia" w:ascii="仿宋_GB2312" w:hAnsi="仿宋_GB2312" w:eastAsia="仿宋_GB2312" w:cs="仿宋_GB2312"/>
                <w:color w:val="000000"/>
                <w:kern w:val="0"/>
                <w:sz w:val="18"/>
                <w:szCs w:val="18"/>
                <w:lang w:val="en-US" w:eastAsia="zh-CN"/>
              </w:rPr>
              <w:t>2.</w:t>
            </w:r>
            <w:r>
              <w:rPr>
                <w:rFonts w:hint="eastAsia" w:ascii="仿宋_GB2312" w:hAnsi="仿宋_GB2312" w:eastAsia="仿宋_GB2312" w:cs="仿宋_GB2312"/>
                <w:color w:val="000000"/>
                <w:kern w:val="0"/>
                <w:sz w:val="18"/>
                <w:szCs w:val="18"/>
              </w:rPr>
              <w:t>材质：采用环保E0级优质</w:t>
            </w:r>
            <w:r>
              <w:rPr>
                <w:rFonts w:hint="eastAsia" w:ascii="仿宋_GB2312" w:hAnsi="仿宋_GB2312" w:eastAsia="仿宋_GB2312" w:cs="仿宋_GB2312"/>
                <w:color w:val="000000"/>
                <w:kern w:val="0"/>
                <w:sz w:val="18"/>
                <w:szCs w:val="18"/>
                <w:lang w:val="en-US" w:eastAsia="zh-CN"/>
              </w:rPr>
              <w:t>硬质</w:t>
            </w:r>
            <w:r>
              <w:rPr>
                <w:rFonts w:hint="eastAsia" w:ascii="仿宋_GB2312" w:hAnsi="仿宋_GB2312" w:eastAsia="仿宋_GB2312" w:cs="仿宋_GB2312"/>
                <w:color w:val="000000"/>
                <w:kern w:val="0"/>
                <w:sz w:val="18"/>
                <w:szCs w:val="18"/>
              </w:rPr>
              <w:t>实木板，环保油漆。所有木质部件采用优质环保水性漆，防水防油耐消毒擦拭</w:t>
            </w:r>
            <w:r>
              <w:rPr>
                <w:rFonts w:hint="eastAsia" w:ascii="仿宋_GB2312" w:hAnsi="仿宋_GB2312" w:eastAsia="仿宋_GB2312" w:cs="仿宋_GB2312"/>
                <w:color w:val="000000"/>
                <w:kern w:val="0"/>
                <w:sz w:val="18"/>
                <w:szCs w:val="18"/>
                <w:lang w:eastAsia="zh-CN"/>
              </w:rPr>
              <w:t>，</w:t>
            </w:r>
            <w:r>
              <w:rPr>
                <w:rFonts w:hint="eastAsia" w:ascii="仿宋_GB2312" w:hAnsi="仿宋_GB2312" w:eastAsia="仿宋_GB2312" w:cs="仿宋_GB2312"/>
                <w:color w:val="000000"/>
                <w:kern w:val="0"/>
                <w:sz w:val="18"/>
                <w:szCs w:val="18"/>
              </w:rPr>
              <w:t>密闭涂饰。 面板厚度不小于 30mm</w:t>
            </w:r>
            <w:r>
              <w:rPr>
                <w:rFonts w:hint="eastAsia" w:ascii="仿宋_GB2312" w:hAnsi="仿宋_GB2312" w:eastAsia="仿宋_GB2312" w:cs="仿宋_GB2312"/>
                <w:color w:val="000000"/>
                <w:kern w:val="0"/>
                <w:sz w:val="18"/>
                <w:szCs w:val="18"/>
                <w:lang w:eastAsia="zh-CN"/>
              </w:rPr>
              <w:t>，</w:t>
            </w:r>
            <w:r>
              <w:rPr>
                <w:rFonts w:hint="eastAsia" w:ascii="仿宋_GB2312" w:hAnsi="仿宋_GB2312" w:eastAsia="仿宋_GB2312" w:cs="仿宋_GB2312"/>
                <w:color w:val="000000"/>
                <w:kern w:val="0"/>
                <w:sz w:val="18"/>
                <w:szCs w:val="18"/>
              </w:rPr>
              <w:t>桌沿全圆弧倒圆打磨，无尖锐棱角</w:t>
            </w:r>
            <w:r>
              <w:rPr>
                <w:rFonts w:hint="eastAsia" w:ascii="仿宋_GB2312" w:hAnsi="仿宋_GB2312" w:eastAsia="仿宋_GB2312" w:cs="仿宋_GB2312"/>
                <w:color w:val="000000"/>
                <w:kern w:val="0"/>
                <w:sz w:val="18"/>
                <w:szCs w:val="18"/>
                <w:lang w:eastAsia="zh-CN"/>
              </w:rPr>
              <w:t>。</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lang w:val="en-US" w:eastAsia="zh-CN"/>
              </w:rPr>
              <w:t>3.</w:t>
            </w:r>
            <w:r>
              <w:rPr>
                <w:rFonts w:hint="eastAsia" w:ascii="仿宋_GB2312" w:hAnsi="仿宋_GB2312" w:eastAsia="仿宋_GB2312" w:cs="仿宋_GB2312"/>
                <w:color w:val="000000"/>
                <w:kern w:val="0"/>
                <w:sz w:val="18"/>
                <w:szCs w:val="18"/>
              </w:rPr>
              <w:t>桌腿：实木桌脚</w:t>
            </w:r>
            <w:r>
              <w:rPr>
                <w:rFonts w:hint="eastAsia" w:ascii="仿宋_GB2312" w:hAnsi="仿宋_GB2312" w:eastAsia="仿宋_GB2312" w:cs="仿宋_GB2312"/>
                <w:color w:val="000000"/>
                <w:kern w:val="0"/>
                <w:sz w:val="18"/>
                <w:szCs w:val="18"/>
                <w:lang w:eastAsia="zh-CN"/>
              </w:rPr>
              <w:t>，结构加固，连接处无松动；底部加装防滑静音橡胶脚垫</w:t>
            </w:r>
          </w:p>
        </w:tc>
      </w:tr>
      <w:tr w14:paraId="3B8B5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46" w:type="dxa"/>
            <w:shd w:val="clear" w:color="auto" w:fill="auto"/>
            <w:vAlign w:val="center"/>
          </w:tcPr>
          <w:p w14:paraId="535249B4">
            <w:pPr>
              <w:keepNext w:val="0"/>
              <w:keepLines w:val="0"/>
              <w:widowControl/>
              <w:suppressLineNumbers w:val="0"/>
              <w:jc w:val="center"/>
              <w:textAlignment w:val="center"/>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7</w:t>
            </w:r>
          </w:p>
        </w:tc>
        <w:tc>
          <w:tcPr>
            <w:tcW w:w="1406" w:type="dxa"/>
            <w:shd w:val="clear" w:color="auto" w:fill="auto"/>
            <w:vAlign w:val="center"/>
          </w:tcPr>
          <w:p w14:paraId="431151F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餐椅</w:t>
            </w:r>
          </w:p>
          <w:p w14:paraId="234051E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6180" w:type="dxa"/>
            <w:shd w:val="clear" w:color="auto" w:fill="auto"/>
            <w:vAlign w:val="center"/>
          </w:tcPr>
          <w:p w14:paraId="09B836CC">
            <w:pPr>
              <w:widowControl/>
              <w:jc w:val="left"/>
              <w:textAlignment w:val="center"/>
              <w:rPr>
                <w:rFonts w:hint="eastAsia" w:ascii="仿宋_GB2312" w:hAnsi="仿宋_GB2312" w:eastAsia="仿宋_GB2312" w:cs="仿宋_GB2312"/>
                <w:color w:val="000000"/>
                <w:kern w:val="0"/>
                <w:sz w:val="18"/>
                <w:szCs w:val="18"/>
                <w:lang w:val="en-US" w:eastAsia="zh-CN"/>
              </w:rPr>
            </w:pPr>
            <w:r>
              <w:rPr>
                <w:rFonts w:hint="eastAsia" w:ascii="仿宋_GB2312" w:hAnsi="仿宋_GB2312" w:eastAsia="仿宋_GB2312" w:cs="仿宋_GB2312"/>
                <w:color w:val="000000"/>
                <w:kern w:val="0"/>
                <w:sz w:val="18"/>
                <w:szCs w:val="18"/>
                <w:lang w:val="en-US" w:eastAsia="zh-CN"/>
              </w:rPr>
              <w:t>1.标准中背实木椅，整体稳固不晃动，边角圆弧防撞</w:t>
            </w:r>
          </w:p>
          <w:p w14:paraId="780D3DDB">
            <w:pPr>
              <w:widowControl/>
              <w:jc w:val="left"/>
              <w:textAlignment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lang w:val="en-US" w:eastAsia="zh-CN"/>
              </w:rPr>
              <w:t>2.</w:t>
            </w:r>
            <w:r>
              <w:rPr>
                <w:rFonts w:hint="eastAsia" w:ascii="仿宋_GB2312" w:hAnsi="仿宋_GB2312" w:eastAsia="仿宋_GB2312" w:cs="仿宋_GB2312"/>
                <w:color w:val="000000"/>
                <w:kern w:val="0"/>
                <w:sz w:val="18"/>
                <w:szCs w:val="18"/>
              </w:rPr>
              <w:t>座背面：环保优质超纤皮面覆面</w:t>
            </w:r>
            <w:r>
              <w:rPr>
                <w:rFonts w:hint="eastAsia" w:ascii="仿宋_GB2312" w:hAnsi="仿宋_GB2312" w:eastAsia="仿宋_GB2312" w:cs="仿宋_GB2312"/>
                <w:color w:val="000000"/>
                <w:kern w:val="0"/>
                <w:sz w:val="18"/>
                <w:szCs w:val="18"/>
                <w:lang w:eastAsia="zh-CN"/>
              </w:rPr>
              <w:t>，，</w:t>
            </w:r>
            <w:r>
              <w:rPr>
                <w:rFonts w:hint="eastAsia" w:ascii="仿宋_GB2312" w:hAnsi="仿宋_GB2312" w:eastAsia="仿宋_GB2312" w:cs="仿宋_GB2312"/>
                <w:color w:val="000000"/>
                <w:kern w:val="0"/>
                <w:sz w:val="18"/>
                <w:szCs w:val="18"/>
                <w:lang w:val="en-US" w:eastAsia="zh-CN"/>
              </w:rPr>
              <w:t>颜色可选</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lang w:val="en-US" w:eastAsia="zh-CN"/>
              </w:rPr>
              <w:t>3.</w:t>
            </w:r>
            <w:r>
              <w:rPr>
                <w:rFonts w:hint="eastAsia" w:ascii="仿宋_GB2312" w:hAnsi="仿宋_GB2312" w:eastAsia="仿宋_GB2312" w:cs="仿宋_GB2312"/>
                <w:color w:val="000000"/>
                <w:kern w:val="0"/>
                <w:sz w:val="18"/>
                <w:szCs w:val="18"/>
              </w:rPr>
              <w:t>衬垫层：使用优质环保型高回弹PU泡棉，座密度</w:t>
            </w:r>
            <w:r>
              <w:rPr>
                <w:rFonts w:hint="eastAsia" w:ascii="仿宋_GB2312" w:hAnsi="仿宋_GB2312" w:eastAsia="仿宋_GB2312" w:cs="仿宋_GB2312"/>
                <w:color w:val="000000"/>
                <w:kern w:val="0"/>
                <w:sz w:val="18"/>
                <w:szCs w:val="18"/>
                <w:lang w:eastAsia="zh-CN"/>
              </w:rPr>
              <w:t>、</w:t>
            </w:r>
            <w:r>
              <w:rPr>
                <w:rFonts w:hint="eastAsia" w:ascii="仿宋_GB2312" w:hAnsi="仿宋_GB2312" w:eastAsia="仿宋_GB2312" w:cs="仿宋_GB2312"/>
                <w:color w:val="000000"/>
                <w:kern w:val="0"/>
                <w:sz w:val="18"/>
                <w:szCs w:val="18"/>
                <w:lang w:val="en-US" w:eastAsia="zh-CN"/>
              </w:rPr>
              <w:t>靠</w:t>
            </w:r>
            <w:r>
              <w:rPr>
                <w:rFonts w:hint="eastAsia" w:ascii="仿宋_GB2312" w:hAnsi="仿宋_GB2312" w:eastAsia="仿宋_GB2312" w:cs="仿宋_GB2312"/>
                <w:color w:val="000000"/>
                <w:kern w:val="0"/>
                <w:sz w:val="18"/>
                <w:szCs w:val="18"/>
              </w:rPr>
              <w:t>背密度</w:t>
            </w:r>
            <w:r>
              <w:rPr>
                <w:rFonts w:hint="eastAsia" w:ascii="仿宋_GB2312" w:hAnsi="仿宋_GB2312" w:eastAsia="仿宋_GB2312" w:cs="仿宋_GB2312"/>
                <w:color w:val="000000"/>
                <w:kern w:val="0"/>
                <w:sz w:val="18"/>
                <w:szCs w:val="18"/>
                <w:lang w:val="en-US" w:eastAsia="zh-CN"/>
              </w:rPr>
              <w:t>≥</w:t>
            </w:r>
            <w:r>
              <w:rPr>
                <w:rFonts w:hint="eastAsia" w:ascii="仿宋_GB2312" w:hAnsi="仿宋_GB2312" w:eastAsia="仿宋_GB2312" w:cs="仿宋_GB2312"/>
                <w:color w:val="000000"/>
                <w:kern w:val="0"/>
                <w:sz w:val="18"/>
                <w:szCs w:val="18"/>
              </w:rPr>
              <w:t xml:space="preserve">45kg/m³，回弹性能50%。                                                    </w:t>
            </w:r>
          </w:p>
          <w:p w14:paraId="471CEB3F">
            <w:pPr>
              <w:widowControl/>
              <w:jc w:val="left"/>
              <w:textAlignment w:val="center"/>
              <w:rPr>
                <w:rFonts w:hint="eastAsia" w:ascii="仿宋_GB2312" w:hAnsi="仿宋_GB2312" w:eastAsia="仿宋_GB2312" w:cs="仿宋_GB2312"/>
                <w:color w:val="000000" w:themeColor="text1"/>
                <w:kern w:val="2"/>
                <w:lang w:eastAsia="zh-CN"/>
                <w14:textFill>
                  <w14:solidFill>
                    <w14:schemeClr w14:val="tx1"/>
                  </w14:solidFill>
                </w14:textFill>
              </w:rPr>
            </w:pPr>
            <w:r>
              <w:rPr>
                <w:rFonts w:hint="eastAsia" w:ascii="仿宋_GB2312" w:hAnsi="仿宋_GB2312" w:eastAsia="仿宋_GB2312" w:cs="仿宋_GB2312"/>
                <w:color w:val="000000"/>
                <w:kern w:val="0"/>
                <w:sz w:val="18"/>
                <w:szCs w:val="18"/>
                <w:lang w:val="en-US" w:eastAsia="zh-CN"/>
              </w:rPr>
              <w:t>4.</w:t>
            </w:r>
            <w:r>
              <w:rPr>
                <w:rFonts w:hint="eastAsia" w:ascii="仿宋_GB2312" w:hAnsi="仿宋_GB2312" w:eastAsia="仿宋_GB2312" w:cs="仿宋_GB2312"/>
                <w:color w:val="000000"/>
                <w:kern w:val="0"/>
                <w:sz w:val="18"/>
                <w:szCs w:val="18"/>
              </w:rPr>
              <w:t xml:space="preserve">工艺：所有木质部件采用优质环保水性漆。 </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lang w:val="en-US" w:eastAsia="zh-CN"/>
              </w:rPr>
              <w:t>5.</w:t>
            </w:r>
            <w:r>
              <w:rPr>
                <w:rFonts w:hint="eastAsia" w:ascii="仿宋_GB2312" w:hAnsi="仿宋_GB2312" w:eastAsia="仿宋_GB2312" w:cs="仿宋_GB2312"/>
                <w:color w:val="000000"/>
                <w:kern w:val="0"/>
                <w:sz w:val="18"/>
                <w:szCs w:val="18"/>
              </w:rPr>
              <w:t>椅脚：实木框架及椅脚，稳定牢固，结实耐用</w:t>
            </w:r>
            <w:r>
              <w:rPr>
                <w:rFonts w:hint="eastAsia" w:ascii="仿宋_GB2312" w:hAnsi="仿宋_GB2312" w:eastAsia="仿宋_GB2312" w:cs="仿宋_GB2312"/>
                <w:color w:val="000000"/>
                <w:kern w:val="0"/>
                <w:sz w:val="18"/>
                <w:szCs w:val="18"/>
                <w:lang w:eastAsia="zh-CN"/>
              </w:rPr>
              <w:t>，底部加装防滑静音橡胶脚垫</w:t>
            </w:r>
          </w:p>
        </w:tc>
      </w:tr>
      <w:tr w14:paraId="321A0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46" w:type="dxa"/>
            <w:shd w:val="clear" w:color="auto" w:fill="auto"/>
            <w:vAlign w:val="center"/>
          </w:tcPr>
          <w:p w14:paraId="04B8EA96">
            <w:pPr>
              <w:keepNext w:val="0"/>
              <w:keepLines w:val="0"/>
              <w:widowControl/>
              <w:suppressLineNumbers w:val="0"/>
              <w:jc w:val="center"/>
              <w:textAlignment w:val="center"/>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8</w:t>
            </w:r>
          </w:p>
        </w:tc>
        <w:tc>
          <w:tcPr>
            <w:tcW w:w="1406" w:type="dxa"/>
            <w:shd w:val="clear" w:color="auto" w:fill="auto"/>
            <w:vAlign w:val="center"/>
          </w:tcPr>
          <w:p w14:paraId="165AB90E">
            <w:pPr>
              <w:keepNext w:val="0"/>
              <w:keepLines w:val="0"/>
              <w:widowControl/>
              <w:suppressLineNumbers w:val="0"/>
              <w:jc w:val="center"/>
              <w:textAlignment w:val="center"/>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组合沙发</w:t>
            </w:r>
          </w:p>
        </w:tc>
        <w:tc>
          <w:tcPr>
            <w:tcW w:w="6180" w:type="dxa"/>
            <w:shd w:val="clear" w:color="auto" w:fill="auto"/>
            <w:vAlign w:val="center"/>
          </w:tcPr>
          <w:p w14:paraId="082B484D">
            <w:pPr>
              <w:widowControl/>
              <w:jc w:val="left"/>
              <w:textAlignment w:val="center"/>
              <w:rPr>
                <w:rFonts w:hint="eastAsia" w:ascii="仿宋_GB2312" w:hAnsi="仿宋_GB2312" w:eastAsia="仿宋_GB2312" w:cs="仿宋_GB2312"/>
                <w:color w:val="000000"/>
                <w:kern w:val="0"/>
                <w:sz w:val="18"/>
                <w:szCs w:val="18"/>
                <w:lang w:eastAsia="zh-CN"/>
              </w:rPr>
            </w:pPr>
            <w:r>
              <w:rPr>
                <w:rFonts w:hint="eastAsia" w:ascii="仿宋_GB2312" w:hAnsi="仿宋_GB2312" w:eastAsia="仿宋_GB2312" w:cs="仿宋_GB2312"/>
                <w:color w:val="000000"/>
                <w:kern w:val="0"/>
                <w:sz w:val="18"/>
                <w:szCs w:val="18"/>
                <w:lang w:val="en-US" w:eastAsia="zh-CN"/>
              </w:rPr>
              <w:t>1.</w:t>
            </w:r>
            <w:r>
              <w:rPr>
                <w:rFonts w:hint="eastAsia" w:ascii="仿宋_GB2312" w:hAnsi="仿宋_GB2312" w:eastAsia="仿宋_GB2312" w:cs="仿宋_GB2312"/>
                <w:color w:val="000000"/>
                <w:kern w:val="0"/>
                <w:sz w:val="18"/>
                <w:szCs w:val="18"/>
              </w:rPr>
              <w:t>9人座造型组合</w:t>
            </w:r>
            <w:r>
              <w:rPr>
                <w:rFonts w:hint="eastAsia" w:ascii="仿宋_GB2312" w:hAnsi="仿宋_GB2312" w:eastAsia="仿宋_GB2312" w:cs="仿宋_GB2312"/>
                <w:color w:val="000000"/>
                <w:kern w:val="0"/>
                <w:sz w:val="18"/>
                <w:szCs w:val="18"/>
                <w:lang w:eastAsia="zh-CN"/>
              </w:rPr>
              <w:t>，单模块独立稳固，可拆分重组，单座静态承重不低于 150kg；坐高 420–450mm；</w:t>
            </w:r>
          </w:p>
          <w:p w14:paraId="42C2A487">
            <w:pPr>
              <w:widowControl/>
              <w:jc w:val="left"/>
              <w:textAlignment w:val="center"/>
              <w:rPr>
                <w:rFonts w:hint="eastAsia" w:ascii="仿宋_GB2312" w:hAnsi="仿宋_GB2312" w:eastAsia="仿宋_GB2312" w:cs="仿宋_GB2312"/>
                <w:color w:val="000000"/>
                <w:kern w:val="0"/>
                <w:sz w:val="18"/>
                <w:szCs w:val="18"/>
                <w:lang w:eastAsia="zh-CN"/>
              </w:rPr>
            </w:pPr>
            <w:r>
              <w:rPr>
                <w:rFonts w:hint="eastAsia" w:ascii="仿宋_GB2312" w:hAnsi="仿宋_GB2312" w:eastAsia="仿宋_GB2312" w:cs="仿宋_GB2312"/>
                <w:color w:val="000000"/>
                <w:kern w:val="0"/>
                <w:sz w:val="18"/>
                <w:szCs w:val="18"/>
                <w:lang w:val="en-US" w:eastAsia="zh-CN"/>
              </w:rPr>
              <w:t>2.面料：</w:t>
            </w:r>
            <w:r>
              <w:rPr>
                <w:rFonts w:hint="eastAsia" w:ascii="仿宋_GB2312" w:hAnsi="仿宋_GB2312" w:eastAsia="仿宋_GB2312" w:cs="仿宋_GB2312"/>
                <w:color w:val="000000"/>
                <w:kern w:val="0"/>
                <w:sz w:val="18"/>
                <w:szCs w:val="18"/>
              </w:rPr>
              <w:t>环保优质高档布艺面料或优质加厚超纤皮面覆面</w:t>
            </w:r>
            <w:r>
              <w:rPr>
                <w:rFonts w:hint="eastAsia" w:ascii="仿宋_GB2312" w:hAnsi="仿宋_GB2312" w:eastAsia="仿宋_GB2312" w:cs="仿宋_GB2312"/>
                <w:color w:val="000000"/>
                <w:kern w:val="0"/>
                <w:sz w:val="18"/>
                <w:szCs w:val="18"/>
                <w:lang w:eastAsia="zh-CN"/>
              </w:rPr>
              <w:t>，</w:t>
            </w:r>
            <w:r>
              <w:rPr>
                <w:rFonts w:hint="eastAsia" w:ascii="仿宋_GB2312" w:hAnsi="仿宋_GB2312" w:eastAsia="仿宋_GB2312" w:cs="仿宋_GB2312"/>
                <w:color w:val="000000"/>
                <w:kern w:val="0"/>
                <w:sz w:val="18"/>
                <w:szCs w:val="18"/>
                <w:lang w:val="en-US" w:eastAsia="zh-CN"/>
              </w:rPr>
              <w:t>颜色可选</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lang w:val="en-US" w:eastAsia="zh-CN"/>
              </w:rPr>
              <w:t>3.</w:t>
            </w:r>
            <w:r>
              <w:rPr>
                <w:rFonts w:hint="eastAsia" w:ascii="仿宋_GB2312" w:hAnsi="仿宋_GB2312" w:eastAsia="仿宋_GB2312" w:cs="仿宋_GB2312"/>
                <w:color w:val="000000"/>
                <w:kern w:val="0"/>
                <w:sz w:val="18"/>
                <w:szCs w:val="18"/>
              </w:rPr>
              <w:t>衬垫层：使用优质环保型高回弹PU泡棉，座密度</w:t>
            </w:r>
            <w:r>
              <w:rPr>
                <w:rFonts w:hint="eastAsia" w:ascii="仿宋_GB2312" w:hAnsi="仿宋_GB2312" w:eastAsia="仿宋_GB2312" w:cs="仿宋_GB2312"/>
                <w:color w:val="000000"/>
                <w:kern w:val="0"/>
                <w:sz w:val="18"/>
                <w:szCs w:val="18"/>
                <w:lang w:eastAsia="zh-CN"/>
              </w:rPr>
              <w:t>、</w:t>
            </w:r>
            <w:r>
              <w:rPr>
                <w:rFonts w:hint="eastAsia" w:ascii="仿宋_GB2312" w:hAnsi="仿宋_GB2312" w:eastAsia="仿宋_GB2312" w:cs="仿宋_GB2312"/>
                <w:color w:val="000000"/>
                <w:kern w:val="0"/>
                <w:sz w:val="18"/>
                <w:szCs w:val="18"/>
                <w:lang w:val="en-US" w:eastAsia="zh-CN"/>
              </w:rPr>
              <w:t>靠</w:t>
            </w:r>
            <w:r>
              <w:rPr>
                <w:rFonts w:hint="eastAsia" w:ascii="仿宋_GB2312" w:hAnsi="仿宋_GB2312" w:eastAsia="仿宋_GB2312" w:cs="仿宋_GB2312"/>
                <w:color w:val="000000"/>
                <w:kern w:val="0"/>
                <w:sz w:val="18"/>
                <w:szCs w:val="18"/>
              </w:rPr>
              <w:t>背密度</w:t>
            </w:r>
            <w:r>
              <w:rPr>
                <w:rFonts w:hint="eastAsia" w:ascii="仿宋_GB2312" w:hAnsi="仿宋_GB2312" w:eastAsia="仿宋_GB2312" w:cs="仿宋_GB2312"/>
                <w:color w:val="000000"/>
                <w:kern w:val="0"/>
                <w:sz w:val="18"/>
                <w:szCs w:val="18"/>
                <w:lang w:val="en-US" w:eastAsia="zh-CN"/>
              </w:rPr>
              <w:t>≥</w:t>
            </w:r>
            <w:r>
              <w:rPr>
                <w:rFonts w:hint="eastAsia" w:ascii="仿宋_GB2312" w:hAnsi="仿宋_GB2312" w:eastAsia="仿宋_GB2312" w:cs="仿宋_GB2312"/>
                <w:color w:val="000000"/>
                <w:kern w:val="0"/>
                <w:sz w:val="18"/>
                <w:szCs w:val="18"/>
              </w:rPr>
              <w:t>45kg/m³，回弹性能50%</w:t>
            </w:r>
          </w:p>
          <w:p w14:paraId="09EB4703">
            <w:pPr>
              <w:widowControl/>
              <w:numPr>
                <w:ilvl w:val="0"/>
                <w:numId w:val="0"/>
              </w:numPr>
              <w:jc w:val="left"/>
              <w:textAlignment w:val="center"/>
              <w:rPr>
                <w:rFonts w:hint="eastAsia" w:ascii="仿宋_GB2312" w:hAnsi="仿宋_GB2312" w:eastAsia="仿宋_GB2312" w:cs="仿宋_GB2312"/>
                <w:color w:val="000000"/>
                <w:kern w:val="0"/>
                <w:sz w:val="18"/>
                <w:szCs w:val="18"/>
                <w:lang w:eastAsia="zh-CN"/>
              </w:rPr>
            </w:pPr>
            <w:r>
              <w:rPr>
                <w:rFonts w:hint="eastAsia" w:ascii="仿宋_GB2312" w:hAnsi="仿宋_GB2312" w:eastAsia="仿宋_GB2312" w:cs="仿宋_GB2312"/>
                <w:color w:val="000000"/>
                <w:kern w:val="0"/>
                <w:sz w:val="18"/>
                <w:szCs w:val="18"/>
                <w:lang w:val="en-US" w:eastAsia="zh-CN"/>
              </w:rPr>
              <w:t>4.</w:t>
            </w:r>
            <w:r>
              <w:rPr>
                <w:rFonts w:hint="eastAsia" w:ascii="仿宋_GB2312" w:hAnsi="仿宋_GB2312" w:eastAsia="仿宋_GB2312" w:cs="仿宋_GB2312"/>
                <w:color w:val="000000"/>
                <w:kern w:val="0"/>
                <w:sz w:val="18"/>
                <w:szCs w:val="18"/>
                <w:lang w:eastAsia="zh-CN"/>
              </w:rPr>
              <w:t>底部加装静音防滑橡胶脚垫</w:t>
            </w:r>
          </w:p>
        </w:tc>
      </w:tr>
      <w:tr w14:paraId="1ABF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46" w:type="dxa"/>
            <w:shd w:val="clear" w:color="auto" w:fill="auto"/>
            <w:vAlign w:val="center"/>
          </w:tcPr>
          <w:p w14:paraId="71C6D25E">
            <w:pPr>
              <w:keepNext w:val="0"/>
              <w:keepLines w:val="0"/>
              <w:widowControl/>
              <w:suppressLineNumbers w:val="0"/>
              <w:jc w:val="center"/>
              <w:textAlignment w:val="center"/>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9</w:t>
            </w:r>
          </w:p>
        </w:tc>
        <w:tc>
          <w:tcPr>
            <w:tcW w:w="1406" w:type="dxa"/>
            <w:shd w:val="clear" w:color="auto" w:fill="auto"/>
            <w:vAlign w:val="center"/>
          </w:tcPr>
          <w:p w14:paraId="6D219833">
            <w:pPr>
              <w:keepNext w:val="0"/>
              <w:keepLines w:val="0"/>
              <w:widowControl/>
              <w:suppressLineNumbers w:val="0"/>
              <w:jc w:val="center"/>
              <w:textAlignment w:val="center"/>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导诊台</w:t>
            </w:r>
          </w:p>
        </w:tc>
        <w:tc>
          <w:tcPr>
            <w:tcW w:w="6180" w:type="dxa"/>
            <w:shd w:val="clear" w:color="auto" w:fill="auto"/>
            <w:vAlign w:val="center"/>
          </w:tcPr>
          <w:p w14:paraId="42637106">
            <w:pPr>
              <w:widowControl/>
              <w:jc w:val="left"/>
              <w:textAlignment w:val="center"/>
              <w:rPr>
                <w:rFonts w:hint="eastAsia" w:ascii="仿宋_GB2312" w:hAnsi="仿宋_GB2312" w:eastAsia="仿宋_GB2312" w:cs="仿宋_GB2312"/>
                <w:color w:val="000000"/>
                <w:kern w:val="0"/>
                <w:sz w:val="18"/>
                <w:szCs w:val="18"/>
                <w:lang w:val="en-US" w:eastAsia="zh-CN"/>
              </w:rPr>
            </w:pPr>
            <w:r>
              <w:rPr>
                <w:rFonts w:hint="eastAsia" w:ascii="仿宋_GB2312" w:hAnsi="仿宋_GB2312" w:eastAsia="仿宋_GB2312" w:cs="仿宋_GB2312"/>
                <w:color w:val="000000"/>
                <w:kern w:val="0"/>
                <w:sz w:val="18"/>
                <w:szCs w:val="18"/>
                <w:lang w:val="en-US" w:eastAsia="zh-CN" w:bidi="ar-SA"/>
              </w:rPr>
              <w:t>1.</w:t>
            </w:r>
            <w:r>
              <w:rPr>
                <w:rFonts w:hint="eastAsia" w:ascii="仿宋_GB2312" w:hAnsi="仿宋_GB2312" w:eastAsia="仿宋_GB2312" w:cs="仿宋_GB2312"/>
                <w:color w:val="000000"/>
                <w:kern w:val="0"/>
                <w:sz w:val="18"/>
                <w:szCs w:val="18"/>
                <w:lang w:val="en-US" w:eastAsia="zh-CN"/>
              </w:rPr>
              <w:t>尺寸mm(长*宽*高)：7000*500*800，可允许偏差 ±5mm</w:t>
            </w:r>
          </w:p>
          <w:p w14:paraId="460ADB3E">
            <w:pPr>
              <w:widowControl/>
              <w:numPr>
                <w:ilvl w:val="0"/>
                <w:numId w:val="0"/>
              </w:numPr>
              <w:jc w:val="left"/>
              <w:textAlignment w:val="center"/>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sz w:val="21"/>
                <w:szCs w:val="24"/>
                <w:lang w:val="en-US" w:eastAsia="zh-CN" w:bidi="ar-SA"/>
                <w14:textFill>
                  <w14:solidFill>
                    <w14:schemeClr w14:val="tx1"/>
                  </w14:solidFill>
                </w14:textFill>
              </w:rPr>
              <w:t>2.</w:t>
            </w:r>
            <w:r>
              <w:rPr>
                <w:rFonts w:hint="eastAsia" w:ascii="仿宋_GB2312" w:hAnsi="仿宋_GB2312" w:eastAsia="仿宋_GB2312" w:cs="仿宋_GB2312"/>
                <w:color w:val="000000"/>
                <w:kern w:val="0"/>
                <w:sz w:val="18"/>
                <w:szCs w:val="18"/>
              </w:rPr>
              <w:t>E0级优质环保人造板，防火板双贴面，桌面及档板弧形造形设计。桌下带文件柜及活动抽屉柜，带主机架可放电脑，台面带走线盒可走线。</w:t>
            </w:r>
          </w:p>
        </w:tc>
      </w:tr>
      <w:tr w14:paraId="3002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46" w:type="dxa"/>
            <w:shd w:val="clear" w:color="auto" w:fill="auto"/>
            <w:vAlign w:val="center"/>
          </w:tcPr>
          <w:p w14:paraId="1C060E07">
            <w:pPr>
              <w:keepNext w:val="0"/>
              <w:keepLines w:val="0"/>
              <w:widowControl/>
              <w:suppressLineNumbers w:val="0"/>
              <w:jc w:val="center"/>
              <w:textAlignment w:val="center"/>
              <w:rPr>
                <w:rFonts w:hint="default" w:ascii="仿宋_GB2312" w:hAnsi="仿宋_GB2312" w:eastAsia="仿宋_GB2312" w:cs="仿宋_GB2312"/>
                <w:color w:val="000000" w:themeColor="text1"/>
                <w:kern w:val="2"/>
                <w:lang w:val="en-US"/>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10</w:t>
            </w:r>
          </w:p>
        </w:tc>
        <w:tc>
          <w:tcPr>
            <w:tcW w:w="1406" w:type="dxa"/>
            <w:shd w:val="clear" w:color="auto" w:fill="auto"/>
            <w:vAlign w:val="center"/>
          </w:tcPr>
          <w:p w14:paraId="3A9438FF">
            <w:pPr>
              <w:keepNext w:val="0"/>
              <w:keepLines w:val="0"/>
              <w:widowControl/>
              <w:suppressLineNumbers w:val="0"/>
              <w:jc w:val="center"/>
              <w:textAlignment w:val="center"/>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导诊椅</w:t>
            </w:r>
          </w:p>
        </w:tc>
        <w:tc>
          <w:tcPr>
            <w:tcW w:w="6180" w:type="dxa"/>
            <w:shd w:val="clear" w:color="auto" w:fill="auto"/>
            <w:vAlign w:val="center"/>
          </w:tcPr>
          <w:p w14:paraId="21076D54">
            <w:pPr>
              <w:widowControl/>
              <w:numPr>
                <w:ilvl w:val="0"/>
                <w:numId w:val="0"/>
              </w:numPr>
              <w:jc w:val="left"/>
              <w:textAlignment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lang w:val="en-US" w:eastAsia="zh-CN"/>
              </w:rPr>
              <w:t>1.</w:t>
            </w:r>
            <w:r>
              <w:rPr>
                <w:rFonts w:hint="eastAsia" w:ascii="仿宋_GB2312" w:hAnsi="仿宋_GB2312" w:eastAsia="仿宋_GB2312" w:cs="仿宋_GB2312"/>
                <w:color w:val="000000"/>
                <w:kern w:val="0"/>
                <w:sz w:val="18"/>
                <w:szCs w:val="18"/>
              </w:rPr>
              <w:t>高背、带扶手，带头枕</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lang w:val="en-US" w:eastAsia="zh-CN"/>
              </w:rPr>
              <w:t>2.</w:t>
            </w:r>
            <w:r>
              <w:rPr>
                <w:rFonts w:hint="eastAsia" w:ascii="仿宋_GB2312" w:hAnsi="仿宋_GB2312" w:eastAsia="仿宋_GB2312" w:cs="仿宋_GB2312"/>
                <w:color w:val="000000"/>
                <w:kern w:val="0"/>
                <w:sz w:val="18"/>
                <w:szCs w:val="18"/>
              </w:rPr>
              <w:t>优质透气特网布覆面；内衬优质环保高回弹一次成形PU泡棉（座密度≥40Kg/ m3），座衬板采用硬杂木弯曲成形环保多层胶合板，厚度≥12mm。</w:t>
            </w:r>
          </w:p>
          <w:p w14:paraId="708FFFDE">
            <w:pPr>
              <w:widowControl/>
              <w:numPr>
                <w:ilvl w:val="0"/>
                <w:numId w:val="0"/>
              </w:numPr>
              <w:jc w:val="left"/>
              <w:textAlignment w:val="center"/>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kern w:val="0"/>
                <w:sz w:val="18"/>
                <w:szCs w:val="18"/>
                <w:lang w:val="en-US" w:eastAsia="zh-CN"/>
              </w:rPr>
              <w:t>3.</w:t>
            </w:r>
            <w:r>
              <w:rPr>
                <w:rFonts w:hint="eastAsia" w:ascii="仿宋_GB2312" w:hAnsi="仿宋_GB2312" w:eastAsia="仿宋_GB2312" w:cs="仿宋_GB2312"/>
                <w:color w:val="000000"/>
                <w:kern w:val="0"/>
                <w:sz w:val="18"/>
                <w:szCs w:val="18"/>
              </w:rPr>
              <w:t>灰白色框架，带填腰。尼龙五星脚，带气压升降，带功能底盘及倾仰，符合人体工学椅。</w:t>
            </w:r>
          </w:p>
        </w:tc>
      </w:tr>
    </w:tbl>
    <w:p w14:paraId="19281202">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（二）商务要求：</w:t>
      </w:r>
    </w:p>
    <w:p w14:paraId="0A349E4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1、交付时间（服务期限）：</w:t>
      </w:r>
    </w:p>
    <w:p w14:paraId="7069737C">
      <w:pPr>
        <w:snapToGrid w:val="0"/>
        <w:spacing w:line="52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sym w:font="Wingdings 2" w:char="F052"/>
      </w:r>
      <w:r>
        <w:rPr>
          <w:rFonts w:hint="eastAsia" w:ascii="仿宋_GB2312" w:hAnsi="仿宋_GB2312" w:eastAsia="仿宋_GB2312" w:cs="仿宋_GB2312"/>
          <w:sz w:val="24"/>
        </w:rPr>
        <w:t>合同签订后</w:t>
      </w:r>
      <w:r>
        <w:rPr>
          <w:rFonts w:hint="eastAsia" w:ascii="仿宋_GB2312" w:hAnsi="仿宋_GB2312" w:eastAsia="仿宋_GB2312" w:cs="仿宋_GB2312"/>
          <w:sz w:val="24"/>
          <w:lang w:val="en-US" w:eastAsia="zh-CN"/>
        </w:rPr>
        <w:t>30</w:t>
      </w:r>
      <w:r>
        <w:rPr>
          <w:rFonts w:hint="eastAsia" w:ascii="仿宋_GB2312" w:hAnsi="仿宋_GB2312" w:eastAsia="仿宋_GB2312" w:cs="仿宋_GB2312"/>
          <w:sz w:val="24"/>
        </w:rPr>
        <w:t>天</w:t>
      </w:r>
      <w:r>
        <w:rPr>
          <w:rFonts w:hint="eastAsia" w:ascii="仿宋_GB2312" w:hAnsi="仿宋_GB2312" w:eastAsia="仿宋_GB2312" w:cs="仿宋_GB2312"/>
          <w:sz w:val="24"/>
          <w:lang w:val="en-US" w:eastAsia="zh-CN"/>
        </w:rPr>
        <w:t>日历日</w:t>
      </w:r>
      <w:r>
        <w:rPr>
          <w:rFonts w:hint="eastAsia" w:ascii="仿宋_GB2312" w:hAnsi="仿宋_GB2312" w:eastAsia="仿宋_GB2312" w:cs="仿宋_GB2312"/>
          <w:sz w:val="24"/>
        </w:rPr>
        <w:t>内到货安装（包括确认颜色及尺寸</w:t>
      </w:r>
      <w:r>
        <w:rPr>
          <w:rFonts w:hint="eastAsia" w:ascii="仿宋_GB2312" w:hAnsi="仿宋_GB2312" w:eastAsia="仿宋_GB2312" w:cs="仿宋_GB2312"/>
          <w:sz w:val="24"/>
          <w:lang w:eastAsia="zh-CN"/>
        </w:rPr>
        <w:t>）并具备验收条件。</w:t>
      </w:r>
    </w:p>
    <w:p w14:paraId="5ABD510D">
      <w:pPr>
        <w:snapToGrid w:val="0"/>
        <w:spacing w:line="52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sym w:font="Wingdings 2" w:char="F0A3"/>
      </w:r>
      <w:r>
        <w:rPr>
          <w:rFonts w:hint="eastAsia" w:ascii="仿宋_GB2312" w:hAnsi="仿宋_GB2312" w:eastAsia="仿宋_GB2312" w:cs="仿宋_GB2312"/>
          <w:sz w:val="24"/>
        </w:rPr>
        <w:t>服务期限自合同签订起</w:t>
      </w:r>
      <w:r>
        <w:rPr>
          <w:rFonts w:ascii="仿宋_GB2312" w:hAnsi="仿宋_GB2312" w:eastAsia="仿宋_GB2312" w:cs="仿宋_GB2312"/>
          <w:sz w:val="24"/>
        </w:rPr>
        <w:t xml:space="preserve"> </w:t>
      </w:r>
      <w:r>
        <w:rPr>
          <w:rFonts w:hint="eastAsia" w:ascii="仿宋_GB2312" w:hAnsi="仿宋_GB2312" w:eastAsia="仿宋_GB2312" w:cs="仿宋_GB2312"/>
          <w:sz w:val="24"/>
        </w:rPr>
        <w:t>年。</w:t>
      </w:r>
    </w:p>
    <w:p w14:paraId="721E31F1">
      <w:pPr>
        <w:snapToGrid w:val="0"/>
        <w:spacing w:line="52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sym w:font="Wingdings 2" w:char="F0A3"/>
      </w:r>
      <w:r>
        <w:rPr>
          <w:rFonts w:hint="eastAsia" w:ascii="仿宋_GB2312" w:hAnsi="仿宋_GB2312" w:eastAsia="仿宋_GB2312" w:cs="仿宋_GB2312"/>
          <w:sz w:val="24"/>
        </w:rPr>
        <w:t>其他：</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14:paraId="16E68B5D">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2、交付地点（服务地点）：</w:t>
      </w:r>
      <w:bookmarkStart w:id="0" w:name="_Hlk229408516"/>
      <w:r>
        <w:rPr>
          <w:rFonts w:hint="eastAsia" w:ascii="仿宋_GB2312" w:hAnsi="仿宋_GB2312" w:eastAsia="仿宋_GB2312" w:cs="仿宋_GB2312"/>
          <w:sz w:val="24"/>
        </w:rPr>
        <w:t xml:space="preserve">北京市海淀区学院路37号北京航空航天大学校医院       </w:t>
      </w:r>
    </w:p>
    <w:bookmarkEnd w:id="0"/>
    <w:p w14:paraId="375B0107">
      <w:pPr>
        <w:snapToGrid w:val="0"/>
        <w:spacing w:line="520" w:lineRule="exact"/>
        <w:ind w:firstLine="480" w:firstLineChars="200"/>
        <w:rPr>
          <w:rFonts w:hint="eastAsia" w:ascii="仿宋_GB2312" w:hAnsi="仿宋_GB2312" w:eastAsia="仿宋_GB2312" w:cs="仿宋_GB2312"/>
          <w:sz w:val="24"/>
          <w:lang w:eastAsia="zh-CN"/>
        </w:rPr>
      </w:pPr>
      <w:r>
        <w:rPr>
          <w:rFonts w:hint="eastAsia" w:ascii="仿宋_GB2312" w:hAnsi="仿宋_GB2312" w:eastAsia="仿宋_GB2312" w:cs="仿宋_GB2312"/>
          <w:sz w:val="24"/>
        </w:rPr>
        <w:t>3、包装运输：对所有产品进行安全包装</w:t>
      </w:r>
      <w:r>
        <w:rPr>
          <w:rFonts w:hint="eastAsia" w:ascii="仿宋_GB2312" w:hAnsi="仿宋_GB2312" w:eastAsia="仿宋_GB2312" w:cs="仿宋_GB2312"/>
          <w:sz w:val="24"/>
          <w:lang w:eastAsia="zh-CN"/>
        </w:rPr>
        <w:t>。</w:t>
      </w:r>
    </w:p>
    <w:p w14:paraId="61B0DC85">
      <w:pPr>
        <w:snapToGrid w:val="0"/>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4、售后服务：包括质保期年限不少于一年、维修或服务响应时间、技术培训时间及内容等。</w:t>
      </w:r>
    </w:p>
    <w:p w14:paraId="6F553B64">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4.1质保期</w:t>
      </w:r>
      <w:r>
        <w:rPr>
          <w:rFonts w:hint="eastAsia" w:ascii="仿宋_GB2312" w:hAnsi="仿宋_GB2312" w:eastAsia="仿宋_GB2312" w:cs="仿宋_GB2312"/>
          <w:sz w:val="24"/>
          <w:u w:val="single"/>
          <w:lang w:val="en-US" w:eastAsia="zh-CN"/>
        </w:rPr>
        <w:t xml:space="preserve"> 3 </w:t>
      </w:r>
      <w:r>
        <w:rPr>
          <w:rFonts w:hint="eastAsia" w:ascii="仿宋_GB2312" w:hAnsi="仿宋_GB2312" w:eastAsia="仿宋_GB2312" w:cs="仿宋_GB2312"/>
          <w:sz w:val="24"/>
        </w:rPr>
        <w:t>年：从验收合格之日起，</w:t>
      </w:r>
      <w:r>
        <w:rPr>
          <w:rFonts w:hint="eastAsia" w:ascii="仿宋_GB2312" w:hAnsi="仿宋_GB2312" w:eastAsia="仿宋_GB2312" w:cs="仿宋_GB2312"/>
          <w:sz w:val="24"/>
          <w:lang w:val="en-US" w:eastAsia="zh-CN"/>
        </w:rPr>
        <w:t>供应商</w:t>
      </w:r>
      <w:r>
        <w:rPr>
          <w:rFonts w:hint="eastAsia" w:ascii="仿宋_GB2312" w:hAnsi="仿宋_GB2312" w:eastAsia="仿宋_GB2312" w:cs="仿宋_GB2312"/>
          <w:sz w:val="24"/>
        </w:rPr>
        <w:t>对其供应产品实行3年免费维修。质保期内对产品本身出现的质量问题，</w:t>
      </w:r>
      <w:r>
        <w:rPr>
          <w:rFonts w:hint="eastAsia" w:ascii="仿宋_GB2312" w:hAnsi="仿宋_GB2312" w:eastAsia="仿宋_GB2312" w:cs="仿宋_GB2312"/>
          <w:sz w:val="24"/>
          <w:lang w:val="en-US" w:eastAsia="zh-CN"/>
        </w:rPr>
        <w:t>供应商</w:t>
      </w:r>
      <w:r>
        <w:rPr>
          <w:rFonts w:hint="eastAsia" w:ascii="仿宋_GB2312" w:hAnsi="仿宋_GB2312" w:eastAsia="仿宋_GB2312" w:cs="仿宋_GB2312"/>
          <w:sz w:val="24"/>
        </w:rPr>
        <w:t>无偿提供维修服务。</w:t>
      </w:r>
    </w:p>
    <w:p w14:paraId="03DC455F">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4.2维修响应时间：在接到使用方维修电话后1小时响应，4小时内给予明确答复，24小时内到达现场维修。维修人员到现场后若问题特殊无法现场修复的，供方在24小时内应给出合理解决方案。</w:t>
      </w:r>
    </w:p>
    <w:p w14:paraId="03FE9F91">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4.3技术培训：家具安装完毕供货方需指派专业工程师在用户现场对用户操作人员进行家具操作使用培训，培训时间不少于1天，采购人能熟练使用；在家具使用期间，可根据用户实际情况进行多次现场指导及基本维护等。</w:t>
      </w:r>
    </w:p>
    <w:p w14:paraId="1144BE98">
      <w:pPr>
        <w:snapToGrid w:val="0"/>
        <w:spacing w:line="520" w:lineRule="exact"/>
        <w:ind w:firstLine="480" w:firstLineChars="200"/>
        <w:rPr>
          <w:rFonts w:hint="eastAsia" w:ascii="仿宋_GB2312" w:hAnsi="仿宋_GB2312" w:eastAsia="仿宋_GB2312" w:cs="仿宋_GB2312"/>
          <w:sz w:val="24"/>
          <w:lang w:eastAsia="zh-CN"/>
        </w:rPr>
      </w:pPr>
      <w:r>
        <w:rPr>
          <w:rFonts w:hint="eastAsia" w:ascii="仿宋_GB2312" w:hAnsi="仿宋_GB2312" w:eastAsia="仿宋_GB2312" w:cs="仿宋_GB2312"/>
          <w:sz w:val="24"/>
        </w:rPr>
        <w:t>5、培训方案（如有）</w:t>
      </w:r>
      <w:r>
        <w:rPr>
          <w:rFonts w:hint="eastAsia" w:ascii="仿宋_GB2312" w:hAnsi="仿宋_GB2312" w:eastAsia="仿宋_GB2312" w:cs="仿宋_GB2312"/>
          <w:sz w:val="24"/>
          <w:lang w:eastAsia="zh-CN"/>
        </w:rPr>
        <w:t>：</w:t>
      </w:r>
    </w:p>
    <w:p w14:paraId="27312B7A">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6、人员资质要求（如有）：</w:t>
      </w:r>
    </w:p>
    <w:p w14:paraId="69ED824D">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7、保险：保险费由供应商承担</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 xml:space="preserve">     </w:t>
      </w:r>
    </w:p>
    <w:p w14:paraId="424D07C0">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8、其他：   </w:t>
      </w:r>
    </w:p>
    <w:p w14:paraId="5DC431C8">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（三）验收要求：</w:t>
      </w:r>
    </w:p>
    <w:p w14:paraId="4F780F6B">
      <w:pPr>
        <w:snapToGrid w:val="0"/>
        <w:spacing w:line="52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rPr>
        <w:t>在货物到货并安装后，所有技术指标达到</w:t>
      </w:r>
      <w:r>
        <w:rPr>
          <w:rFonts w:hint="eastAsia" w:ascii="仿宋_GB2312" w:hAnsi="仿宋_GB2312" w:eastAsia="仿宋_GB2312" w:cs="仿宋_GB2312"/>
          <w:sz w:val="24"/>
          <w:lang w:val="en-US" w:eastAsia="zh-CN"/>
        </w:rPr>
        <w:t>采购需求的</w:t>
      </w:r>
      <w:r>
        <w:rPr>
          <w:rFonts w:hint="eastAsia" w:ascii="仿宋_GB2312" w:hAnsi="仿宋_GB2312" w:eastAsia="仿宋_GB2312" w:cs="仿宋_GB2312"/>
          <w:sz w:val="24"/>
        </w:rPr>
        <w:t>要求。</w:t>
      </w:r>
    </w:p>
    <w:p w14:paraId="3A6B4EBA">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（四）付款方式及履约保证金：</w:t>
      </w:r>
    </w:p>
    <w:p w14:paraId="6135D89F">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sym w:font="Wingdings 2" w:char="0052"/>
      </w:r>
      <w:r>
        <w:rPr>
          <w:rFonts w:hint="eastAsia" w:ascii="仿宋_GB2312" w:hAnsi="仿宋_GB2312" w:eastAsia="仿宋_GB2312" w:cs="仿宋_GB2312"/>
          <w:sz w:val="24"/>
        </w:rPr>
        <w:t>一次性付款，即：供应商交货并安装、调试完成，经采购人验收合格后，采购人支付100%合同金额，同时乙方提供相应发票。</w:t>
      </w:r>
    </w:p>
    <w:p w14:paraId="38EB5EC4">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分期付款，合同签订</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个工作日内采购人支付合同总价的</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%预付款；完成服务全部内容且验收合格后，供应商向采购人提供合同全额正式商业发票后，采购人支付合同总价的</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14:paraId="17294930">
      <w:pPr>
        <w:snapToGrid w:val="0"/>
        <w:spacing w:line="520" w:lineRule="exact"/>
        <w:rPr>
          <w:rFonts w:ascii="仿宋_GB2312" w:hAnsi="仿宋_GB2312" w:eastAsia="仿宋_GB2312" w:cs="仿宋_GB2312"/>
          <w:sz w:val="24"/>
        </w:rPr>
      </w:pPr>
    </w:p>
    <w:p w14:paraId="65CC2985">
      <w:pPr>
        <w:pStyle w:val="13"/>
        <w:rPr>
          <w:rFonts w:ascii="仿宋_GB2312" w:hAnsi="仿宋_GB2312" w:eastAsia="仿宋_GB2312" w:cs="仿宋_GB2312"/>
          <w:sz w:val="24"/>
        </w:rPr>
      </w:pPr>
    </w:p>
    <w:p w14:paraId="7A09FC54">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br w:type="page"/>
      </w:r>
    </w:p>
    <w:p w14:paraId="7D445A8D">
      <w:pPr>
        <w:pStyle w:val="13"/>
        <w:ind w:left="0" w:leftChars="0" w:firstLine="480"/>
        <w:rPr>
          <w:rFonts w:ascii="仿宋_GB2312" w:hAnsi="仿宋_GB2312" w:eastAsia="仿宋_GB2312" w:cs="仿宋_GB2312"/>
          <w:sz w:val="24"/>
          <w:szCs w:val="24"/>
        </w:rPr>
      </w:pPr>
      <w:r>
        <w:rPr>
          <w:rFonts w:hint="eastAsia" w:ascii="仿宋_GB2312" w:hAnsi="仿宋_GB2312" w:eastAsia="仿宋_GB2312" w:cs="仿宋_GB2312"/>
          <w:sz w:val="24"/>
          <w:szCs w:val="24"/>
        </w:rPr>
        <w:t>附件：采购标的报价单</w:t>
      </w:r>
    </w:p>
    <w:p w14:paraId="49786699">
      <w:pPr>
        <w:pStyle w:val="13"/>
        <w:ind w:left="0" w:leftChars="0" w:firstLine="480"/>
        <w:rPr>
          <w:rFonts w:ascii="仿宋_GB2312" w:hAnsi="仿宋_GB2312" w:eastAsia="仿宋_GB2312" w:cs="仿宋_GB2312"/>
          <w:sz w:val="24"/>
          <w:szCs w:val="24"/>
        </w:rPr>
      </w:pPr>
    </w:p>
    <w:p w14:paraId="6FCC1669">
      <w:pPr>
        <w:jc w:val="center"/>
        <w:rPr>
          <w:rFonts w:ascii="黑体" w:eastAsia="黑体"/>
          <w:b/>
          <w:sz w:val="32"/>
          <w:szCs w:val="32"/>
        </w:rPr>
      </w:pPr>
      <w:r>
        <w:rPr>
          <w:rFonts w:hint="eastAsia" w:ascii="黑体" w:eastAsia="黑体"/>
          <w:b/>
          <w:sz w:val="32"/>
          <w:szCs w:val="32"/>
        </w:rPr>
        <w:t>北航校医院</w:t>
      </w:r>
      <w:r>
        <w:rPr>
          <w:rFonts w:hint="eastAsia" w:ascii="黑体" w:eastAsia="黑体"/>
          <w:b/>
          <w:sz w:val="32"/>
          <w:szCs w:val="32"/>
          <w:lang w:val="en-US" w:eastAsia="zh-CN"/>
        </w:rPr>
        <w:t>北三楼区域家具</w:t>
      </w:r>
      <w:r>
        <w:rPr>
          <w:rFonts w:hint="eastAsia" w:ascii="黑体" w:eastAsia="黑体"/>
          <w:b/>
          <w:sz w:val="32"/>
          <w:szCs w:val="32"/>
        </w:rPr>
        <w:t>采购报价单</w:t>
      </w:r>
    </w:p>
    <w:p w14:paraId="7687DC8E">
      <w:pPr>
        <w:rPr>
          <w:rFonts w:ascii="宋体" w:hAnsi="宋体"/>
          <w:sz w:val="24"/>
        </w:rPr>
      </w:pPr>
      <w:r>
        <w:rPr>
          <w:rFonts w:hint="eastAsia" w:ascii="华文楷体" w:hAnsi="华文楷体" w:eastAsia="华文楷体"/>
          <w:b/>
          <w:bCs/>
          <w:sz w:val="28"/>
          <w:szCs w:val="28"/>
        </w:rPr>
        <w:t>供应商：____________________（加盖单位公章）</w:t>
      </w:r>
      <w:r>
        <w:rPr>
          <w:rFonts w:hint="eastAsia" w:ascii="华文楷体" w:hAnsi="华文楷体" w:eastAsia="华文楷体"/>
          <w:sz w:val="28"/>
          <w:szCs w:val="28"/>
        </w:rPr>
        <w:t xml:space="preserve">   </w:t>
      </w:r>
      <w:r>
        <w:rPr>
          <w:rFonts w:hint="eastAsia" w:ascii="宋体" w:hAnsi="宋体"/>
          <w:sz w:val="24"/>
        </w:rPr>
        <w:t xml:space="preserve">               </w:t>
      </w:r>
    </w:p>
    <w:tbl>
      <w:tblPr>
        <w:tblStyle w:val="14"/>
        <w:tblW w:w="492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2809"/>
        <w:gridCol w:w="1126"/>
        <w:gridCol w:w="808"/>
        <w:gridCol w:w="1273"/>
        <w:gridCol w:w="1679"/>
      </w:tblGrid>
      <w:tr w14:paraId="0E86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416" w:type="pct"/>
            <w:vAlign w:val="center"/>
          </w:tcPr>
          <w:p w14:paraId="3178BFCB">
            <w:pPr>
              <w:keepNext w:val="0"/>
              <w:keepLines w:val="0"/>
              <w:pageBreakBefore w:val="0"/>
              <w:kinsoku/>
              <w:wordWrap/>
              <w:overflowPunct/>
              <w:topLinePunct w:val="0"/>
              <w:autoSpaceDE/>
              <w:autoSpaceDN/>
              <w:bidi w:val="0"/>
              <w:adjustRightInd w:val="0"/>
              <w:snapToGrid w:val="0"/>
              <w:spacing w:line="240" w:lineRule="auto"/>
              <w:jc w:val="center"/>
              <w:rPr>
                <w:rFonts w:ascii="宋体" w:hAnsi="宋体"/>
                <w:bCs/>
                <w:szCs w:val="21"/>
              </w:rPr>
            </w:pPr>
            <w:r>
              <w:rPr>
                <w:rFonts w:hint="eastAsia" w:ascii="宋体" w:hAnsi="宋体"/>
                <w:bCs/>
                <w:szCs w:val="21"/>
              </w:rPr>
              <w:t>序号</w:t>
            </w:r>
          </w:p>
        </w:tc>
        <w:tc>
          <w:tcPr>
            <w:tcW w:w="1673" w:type="pct"/>
            <w:vAlign w:val="center"/>
          </w:tcPr>
          <w:p w14:paraId="726DB3A3">
            <w:pPr>
              <w:keepNext w:val="0"/>
              <w:keepLines w:val="0"/>
              <w:pageBreakBefore w:val="0"/>
              <w:kinsoku/>
              <w:wordWrap/>
              <w:overflowPunct/>
              <w:topLinePunct w:val="0"/>
              <w:autoSpaceDE/>
              <w:autoSpaceDN/>
              <w:bidi w:val="0"/>
              <w:adjustRightInd w:val="0"/>
              <w:snapToGrid w:val="0"/>
              <w:spacing w:line="240" w:lineRule="auto"/>
              <w:jc w:val="center"/>
              <w:rPr>
                <w:rFonts w:ascii="宋体" w:hAnsi="宋体"/>
                <w:bCs/>
                <w:szCs w:val="21"/>
              </w:rPr>
            </w:pPr>
            <w:r>
              <w:rPr>
                <w:rFonts w:hint="eastAsia" w:ascii="宋体" w:hAnsi="宋体"/>
                <w:bCs/>
                <w:szCs w:val="21"/>
              </w:rPr>
              <w:t>服务内容</w:t>
            </w:r>
          </w:p>
        </w:tc>
        <w:tc>
          <w:tcPr>
            <w:tcW w:w="671" w:type="pct"/>
            <w:vAlign w:val="center"/>
          </w:tcPr>
          <w:p w14:paraId="5A9D679E">
            <w:pPr>
              <w:keepNext w:val="0"/>
              <w:keepLines w:val="0"/>
              <w:pageBreakBefore w:val="0"/>
              <w:kinsoku/>
              <w:wordWrap/>
              <w:overflowPunct/>
              <w:topLinePunct w:val="0"/>
              <w:autoSpaceDE/>
              <w:autoSpaceDN/>
              <w:bidi w:val="0"/>
              <w:adjustRightInd w:val="0"/>
              <w:snapToGrid w:val="0"/>
              <w:spacing w:line="240" w:lineRule="auto"/>
              <w:jc w:val="center"/>
              <w:rPr>
                <w:rFonts w:ascii="宋体" w:hAnsi="宋体"/>
                <w:bCs/>
                <w:szCs w:val="21"/>
              </w:rPr>
            </w:pPr>
            <w:r>
              <w:rPr>
                <w:rFonts w:hint="eastAsia" w:ascii="宋体" w:hAnsi="宋体"/>
                <w:bCs/>
                <w:szCs w:val="21"/>
              </w:rPr>
              <w:t>数量（例）</w:t>
            </w:r>
          </w:p>
        </w:tc>
        <w:tc>
          <w:tcPr>
            <w:tcW w:w="480" w:type="pct"/>
            <w:vAlign w:val="center"/>
          </w:tcPr>
          <w:p w14:paraId="7EA8AEAE">
            <w:pPr>
              <w:keepNext w:val="0"/>
              <w:keepLines w:val="0"/>
              <w:pageBreakBefore w:val="0"/>
              <w:kinsoku/>
              <w:wordWrap/>
              <w:overflowPunct/>
              <w:topLinePunct w:val="0"/>
              <w:autoSpaceDE/>
              <w:autoSpaceDN/>
              <w:bidi w:val="0"/>
              <w:adjustRightInd w:val="0"/>
              <w:snapToGrid w:val="0"/>
              <w:spacing w:line="240" w:lineRule="auto"/>
              <w:jc w:val="center"/>
              <w:rPr>
                <w:rFonts w:ascii="宋体" w:hAnsi="宋体"/>
                <w:bCs/>
                <w:szCs w:val="21"/>
              </w:rPr>
            </w:pPr>
            <w:r>
              <w:rPr>
                <w:rFonts w:hint="eastAsia" w:ascii="宋体" w:hAnsi="宋体"/>
                <w:bCs/>
                <w:szCs w:val="21"/>
              </w:rPr>
              <w:t>单位</w:t>
            </w:r>
          </w:p>
        </w:tc>
        <w:tc>
          <w:tcPr>
            <w:tcW w:w="758" w:type="pct"/>
            <w:vAlign w:val="center"/>
          </w:tcPr>
          <w:p w14:paraId="05D326C5">
            <w:pPr>
              <w:keepNext w:val="0"/>
              <w:keepLines w:val="0"/>
              <w:pageBreakBefore w:val="0"/>
              <w:kinsoku/>
              <w:wordWrap/>
              <w:overflowPunct/>
              <w:topLinePunct w:val="0"/>
              <w:autoSpaceDE/>
              <w:autoSpaceDN/>
              <w:bidi w:val="0"/>
              <w:adjustRightInd w:val="0"/>
              <w:snapToGrid w:val="0"/>
              <w:spacing w:line="240" w:lineRule="auto"/>
              <w:jc w:val="center"/>
              <w:rPr>
                <w:rFonts w:ascii="宋体" w:hAnsi="宋体"/>
                <w:bCs/>
                <w:szCs w:val="21"/>
              </w:rPr>
            </w:pPr>
            <w:r>
              <w:rPr>
                <w:rFonts w:hint="eastAsia" w:ascii="宋体" w:hAnsi="宋体"/>
                <w:bCs/>
                <w:szCs w:val="21"/>
              </w:rPr>
              <w:t>单价（元）</w:t>
            </w:r>
          </w:p>
        </w:tc>
        <w:tc>
          <w:tcPr>
            <w:tcW w:w="1000" w:type="pct"/>
            <w:vAlign w:val="center"/>
          </w:tcPr>
          <w:p w14:paraId="550E13CA">
            <w:pPr>
              <w:keepNext w:val="0"/>
              <w:keepLines w:val="0"/>
              <w:pageBreakBefore w:val="0"/>
              <w:kinsoku/>
              <w:wordWrap/>
              <w:overflowPunct/>
              <w:topLinePunct w:val="0"/>
              <w:autoSpaceDE/>
              <w:autoSpaceDN/>
              <w:bidi w:val="0"/>
              <w:adjustRightInd w:val="0"/>
              <w:snapToGrid w:val="0"/>
              <w:spacing w:line="240" w:lineRule="auto"/>
              <w:jc w:val="center"/>
              <w:rPr>
                <w:rFonts w:ascii="宋体" w:hAnsi="宋体"/>
                <w:bCs/>
                <w:szCs w:val="21"/>
              </w:rPr>
            </w:pPr>
            <w:r>
              <w:rPr>
                <w:rFonts w:hint="eastAsia" w:ascii="宋体" w:hAnsi="宋体"/>
                <w:bCs/>
                <w:szCs w:val="21"/>
              </w:rPr>
              <w:t>备注</w:t>
            </w:r>
          </w:p>
        </w:tc>
      </w:tr>
      <w:tr w14:paraId="1296D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16" w:type="pct"/>
            <w:vAlign w:val="center"/>
          </w:tcPr>
          <w:p w14:paraId="01B3ACA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ascii="宋体" w:hAnsi="宋体"/>
                <w:bCs/>
                <w:szCs w:val="21"/>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1673" w:type="pct"/>
            <w:vAlign w:val="center"/>
          </w:tcPr>
          <w:p w14:paraId="256F285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Cs w:val="21"/>
              </w:rPr>
            </w:pPr>
            <w:r>
              <w:rPr>
                <w:rFonts w:hint="eastAsia" w:ascii="仿宋_GB2312" w:hAnsi="仿宋_GB2312" w:eastAsia="仿宋_GB2312" w:cs="仿宋_GB2312"/>
                <w:i w:val="0"/>
                <w:iCs w:val="0"/>
                <w:color w:val="000000"/>
                <w:kern w:val="0"/>
                <w:sz w:val="22"/>
                <w:szCs w:val="22"/>
                <w:u w:val="none"/>
                <w:lang w:val="en-US" w:eastAsia="zh-CN" w:bidi="ar"/>
              </w:rPr>
              <w:t>休闲沙发</w:t>
            </w:r>
          </w:p>
        </w:tc>
        <w:tc>
          <w:tcPr>
            <w:tcW w:w="671" w:type="pct"/>
            <w:vAlign w:val="center"/>
          </w:tcPr>
          <w:p w14:paraId="3E68729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ascii="宋体" w:hAnsi="宋体"/>
                <w:bCs/>
                <w:szCs w:val="21"/>
              </w:rPr>
            </w:pPr>
            <w:r>
              <w:rPr>
                <w:rFonts w:hint="eastAsia" w:ascii="仿宋_GB2312" w:hAnsi="仿宋_GB2312" w:eastAsia="仿宋_GB2312" w:cs="仿宋_GB2312"/>
                <w:i w:val="0"/>
                <w:iCs w:val="0"/>
                <w:color w:val="000000"/>
                <w:kern w:val="0"/>
                <w:sz w:val="22"/>
                <w:szCs w:val="22"/>
                <w:u w:val="none"/>
                <w:lang w:val="en-US" w:eastAsia="zh-CN" w:bidi="ar"/>
              </w:rPr>
              <w:t>60</w:t>
            </w:r>
          </w:p>
        </w:tc>
        <w:tc>
          <w:tcPr>
            <w:tcW w:w="480" w:type="pct"/>
            <w:vAlign w:val="center"/>
          </w:tcPr>
          <w:p w14:paraId="2A1B521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ascii="宋体" w:hAnsi="宋体"/>
                <w:bCs/>
                <w:szCs w:val="21"/>
              </w:rPr>
            </w:pPr>
            <w:r>
              <w:rPr>
                <w:rFonts w:hint="eastAsia" w:ascii="仿宋_GB2312" w:hAnsi="仿宋_GB2312" w:eastAsia="仿宋_GB2312" w:cs="仿宋_GB2312"/>
                <w:i w:val="0"/>
                <w:iCs w:val="0"/>
                <w:color w:val="000000"/>
                <w:kern w:val="0"/>
                <w:sz w:val="22"/>
                <w:szCs w:val="22"/>
                <w:u w:val="none"/>
                <w:lang w:val="en-US" w:eastAsia="zh-CN" w:bidi="ar"/>
              </w:rPr>
              <w:t>个</w:t>
            </w:r>
          </w:p>
        </w:tc>
        <w:tc>
          <w:tcPr>
            <w:tcW w:w="758" w:type="pct"/>
            <w:vAlign w:val="center"/>
          </w:tcPr>
          <w:p w14:paraId="44E2390C">
            <w:pPr>
              <w:keepNext w:val="0"/>
              <w:keepLines w:val="0"/>
              <w:pageBreakBefore w:val="0"/>
              <w:kinsoku/>
              <w:wordWrap/>
              <w:overflowPunct/>
              <w:topLinePunct w:val="0"/>
              <w:autoSpaceDE/>
              <w:autoSpaceDN/>
              <w:bidi w:val="0"/>
              <w:adjustRightInd w:val="0"/>
              <w:snapToGrid w:val="0"/>
              <w:spacing w:line="240" w:lineRule="auto"/>
              <w:rPr>
                <w:rFonts w:ascii="宋体" w:hAnsi="宋体"/>
                <w:bCs/>
                <w:szCs w:val="21"/>
              </w:rPr>
            </w:pPr>
          </w:p>
        </w:tc>
        <w:tc>
          <w:tcPr>
            <w:tcW w:w="1000" w:type="pct"/>
            <w:vAlign w:val="center"/>
          </w:tcPr>
          <w:p w14:paraId="5C829A71">
            <w:pPr>
              <w:keepNext w:val="0"/>
              <w:keepLines w:val="0"/>
              <w:pageBreakBefore w:val="0"/>
              <w:kinsoku/>
              <w:wordWrap/>
              <w:overflowPunct/>
              <w:topLinePunct w:val="0"/>
              <w:autoSpaceDE/>
              <w:autoSpaceDN/>
              <w:bidi w:val="0"/>
              <w:adjustRightInd w:val="0"/>
              <w:snapToGrid w:val="0"/>
              <w:spacing w:line="240" w:lineRule="auto"/>
              <w:jc w:val="center"/>
              <w:rPr>
                <w:rFonts w:ascii="宋体" w:hAnsi="宋体"/>
                <w:bCs/>
                <w:szCs w:val="21"/>
              </w:rPr>
            </w:pPr>
          </w:p>
        </w:tc>
      </w:tr>
      <w:tr w14:paraId="0FF8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16" w:type="pct"/>
            <w:vAlign w:val="center"/>
          </w:tcPr>
          <w:p w14:paraId="1D76EF3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Theme="minorEastAsia"/>
                <w:bCs/>
                <w:szCs w:val="21"/>
                <w:lang w:val="en-US" w:eastAsia="zh-CN"/>
              </w:rPr>
            </w:pPr>
            <w:r>
              <w:rPr>
                <w:rFonts w:hint="eastAsia" w:ascii="仿宋_GB2312" w:hAnsi="仿宋_GB2312" w:eastAsia="仿宋_GB2312" w:cs="仿宋_GB2312"/>
                <w:i w:val="0"/>
                <w:iCs w:val="0"/>
                <w:color w:val="000000"/>
                <w:kern w:val="0"/>
                <w:sz w:val="22"/>
                <w:szCs w:val="22"/>
                <w:u w:val="none"/>
                <w:lang w:val="en-US" w:eastAsia="zh-CN" w:bidi="ar"/>
              </w:rPr>
              <w:t>2</w:t>
            </w:r>
          </w:p>
        </w:tc>
        <w:tc>
          <w:tcPr>
            <w:tcW w:w="1673" w:type="pct"/>
            <w:vAlign w:val="center"/>
          </w:tcPr>
          <w:p w14:paraId="30DCB08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i w:val="0"/>
                <w:iCs w:val="0"/>
                <w:color w:val="000000"/>
                <w:kern w:val="0"/>
                <w:sz w:val="22"/>
                <w:szCs w:val="22"/>
                <w:u w:val="none"/>
                <w:lang w:val="en-US" w:eastAsia="zh-CN" w:bidi="ar"/>
              </w:rPr>
              <w:t>单人沙发</w:t>
            </w:r>
          </w:p>
        </w:tc>
        <w:tc>
          <w:tcPr>
            <w:tcW w:w="671" w:type="pct"/>
            <w:vAlign w:val="center"/>
          </w:tcPr>
          <w:p w14:paraId="631DA13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ascii="仿宋_GB2312" w:hAnsi="仿宋_GB2312" w:eastAsia="仿宋_GB2312" w:cs="仿宋_GB2312"/>
                <w:kern w:val="0"/>
                <w:sz w:val="24"/>
              </w:rPr>
            </w:pPr>
            <w:r>
              <w:rPr>
                <w:rFonts w:hint="eastAsia" w:ascii="仿宋_GB2312" w:hAnsi="仿宋_GB2312" w:eastAsia="仿宋_GB2312" w:cs="仿宋_GB2312"/>
                <w:i w:val="0"/>
                <w:iCs w:val="0"/>
                <w:color w:val="000000"/>
                <w:kern w:val="0"/>
                <w:sz w:val="22"/>
                <w:szCs w:val="22"/>
                <w:u w:val="none"/>
                <w:lang w:val="en-US" w:eastAsia="zh-CN" w:bidi="ar"/>
              </w:rPr>
              <w:t>3</w:t>
            </w:r>
          </w:p>
        </w:tc>
        <w:tc>
          <w:tcPr>
            <w:tcW w:w="480" w:type="pct"/>
            <w:vAlign w:val="center"/>
          </w:tcPr>
          <w:p w14:paraId="3F47C5F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bCs/>
                <w:szCs w:val="21"/>
              </w:rPr>
            </w:pPr>
            <w:r>
              <w:rPr>
                <w:rFonts w:hint="eastAsia" w:ascii="仿宋_GB2312" w:hAnsi="仿宋_GB2312" w:eastAsia="仿宋_GB2312" w:cs="仿宋_GB2312"/>
                <w:i w:val="0"/>
                <w:iCs w:val="0"/>
                <w:color w:val="000000"/>
                <w:kern w:val="0"/>
                <w:sz w:val="22"/>
                <w:szCs w:val="22"/>
                <w:u w:val="none"/>
                <w:lang w:val="en-US" w:eastAsia="zh-CN" w:bidi="ar"/>
              </w:rPr>
              <w:t>个</w:t>
            </w:r>
          </w:p>
        </w:tc>
        <w:tc>
          <w:tcPr>
            <w:tcW w:w="758" w:type="pct"/>
            <w:vAlign w:val="center"/>
          </w:tcPr>
          <w:p w14:paraId="62C05D59">
            <w:pPr>
              <w:keepNext w:val="0"/>
              <w:keepLines w:val="0"/>
              <w:pageBreakBefore w:val="0"/>
              <w:kinsoku/>
              <w:wordWrap/>
              <w:overflowPunct/>
              <w:topLinePunct w:val="0"/>
              <w:autoSpaceDE/>
              <w:autoSpaceDN/>
              <w:bidi w:val="0"/>
              <w:adjustRightInd w:val="0"/>
              <w:snapToGrid w:val="0"/>
              <w:spacing w:line="240" w:lineRule="auto"/>
              <w:rPr>
                <w:rFonts w:ascii="宋体" w:hAnsi="宋体"/>
                <w:bCs/>
                <w:szCs w:val="21"/>
              </w:rPr>
            </w:pPr>
          </w:p>
        </w:tc>
        <w:tc>
          <w:tcPr>
            <w:tcW w:w="1000" w:type="pct"/>
            <w:vAlign w:val="center"/>
          </w:tcPr>
          <w:p w14:paraId="3D01B7D9">
            <w:pPr>
              <w:keepNext w:val="0"/>
              <w:keepLines w:val="0"/>
              <w:pageBreakBefore w:val="0"/>
              <w:kinsoku/>
              <w:wordWrap/>
              <w:overflowPunct/>
              <w:topLinePunct w:val="0"/>
              <w:autoSpaceDE/>
              <w:autoSpaceDN/>
              <w:bidi w:val="0"/>
              <w:adjustRightInd w:val="0"/>
              <w:snapToGrid w:val="0"/>
              <w:spacing w:line="240" w:lineRule="auto"/>
              <w:jc w:val="center"/>
              <w:rPr>
                <w:rFonts w:ascii="宋体" w:hAnsi="宋体"/>
                <w:bCs/>
                <w:szCs w:val="21"/>
              </w:rPr>
            </w:pPr>
          </w:p>
        </w:tc>
      </w:tr>
      <w:tr w14:paraId="25BDC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416" w:type="pct"/>
            <w:vAlign w:val="center"/>
          </w:tcPr>
          <w:p w14:paraId="76670B7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Theme="minorEastAsia"/>
                <w:bCs/>
                <w:szCs w:val="21"/>
                <w:lang w:val="en-US" w:eastAsia="zh-CN"/>
              </w:rPr>
            </w:pPr>
            <w:r>
              <w:rPr>
                <w:rFonts w:hint="eastAsia" w:ascii="仿宋_GB2312" w:hAnsi="仿宋_GB2312" w:eastAsia="仿宋_GB2312" w:cs="仿宋_GB2312"/>
                <w:i w:val="0"/>
                <w:iCs w:val="0"/>
                <w:color w:val="000000"/>
                <w:kern w:val="0"/>
                <w:sz w:val="22"/>
                <w:szCs w:val="22"/>
                <w:u w:val="none"/>
                <w:lang w:val="en-US" w:eastAsia="zh-CN" w:bidi="ar"/>
              </w:rPr>
              <w:t>3</w:t>
            </w:r>
          </w:p>
        </w:tc>
        <w:tc>
          <w:tcPr>
            <w:tcW w:w="1673" w:type="pct"/>
            <w:vAlign w:val="center"/>
          </w:tcPr>
          <w:p w14:paraId="2410968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i w:val="0"/>
                <w:iCs w:val="0"/>
                <w:color w:val="000000"/>
                <w:kern w:val="0"/>
                <w:sz w:val="22"/>
                <w:szCs w:val="22"/>
                <w:u w:val="none"/>
                <w:lang w:val="en-US" w:eastAsia="zh-CN" w:bidi="ar"/>
              </w:rPr>
              <w:t>三人沙发</w:t>
            </w:r>
          </w:p>
        </w:tc>
        <w:tc>
          <w:tcPr>
            <w:tcW w:w="671" w:type="pct"/>
            <w:vAlign w:val="center"/>
          </w:tcPr>
          <w:p w14:paraId="6981004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ascii="仿宋_GB2312" w:hAnsi="仿宋_GB2312" w:eastAsia="仿宋_GB2312" w:cs="仿宋_GB2312"/>
                <w:kern w:val="0"/>
                <w:sz w:val="24"/>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480" w:type="pct"/>
            <w:vAlign w:val="center"/>
          </w:tcPr>
          <w:p w14:paraId="5288097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bCs/>
                <w:szCs w:val="21"/>
              </w:rPr>
            </w:pPr>
            <w:r>
              <w:rPr>
                <w:rFonts w:hint="eastAsia" w:ascii="仿宋_GB2312" w:hAnsi="仿宋_GB2312" w:eastAsia="仿宋_GB2312" w:cs="仿宋_GB2312"/>
                <w:i w:val="0"/>
                <w:iCs w:val="0"/>
                <w:color w:val="000000"/>
                <w:kern w:val="0"/>
                <w:sz w:val="22"/>
                <w:szCs w:val="22"/>
                <w:u w:val="none"/>
                <w:lang w:val="en-US" w:eastAsia="zh-CN" w:bidi="ar"/>
              </w:rPr>
              <w:t>个</w:t>
            </w:r>
          </w:p>
        </w:tc>
        <w:tc>
          <w:tcPr>
            <w:tcW w:w="758" w:type="pct"/>
            <w:vAlign w:val="center"/>
          </w:tcPr>
          <w:p w14:paraId="4E30B72D">
            <w:pPr>
              <w:keepNext w:val="0"/>
              <w:keepLines w:val="0"/>
              <w:pageBreakBefore w:val="0"/>
              <w:kinsoku/>
              <w:wordWrap/>
              <w:overflowPunct/>
              <w:topLinePunct w:val="0"/>
              <w:autoSpaceDE/>
              <w:autoSpaceDN/>
              <w:bidi w:val="0"/>
              <w:adjustRightInd w:val="0"/>
              <w:snapToGrid w:val="0"/>
              <w:spacing w:line="240" w:lineRule="auto"/>
              <w:rPr>
                <w:rFonts w:ascii="宋体" w:hAnsi="宋体"/>
                <w:bCs/>
                <w:szCs w:val="21"/>
              </w:rPr>
            </w:pPr>
          </w:p>
        </w:tc>
        <w:tc>
          <w:tcPr>
            <w:tcW w:w="1000" w:type="pct"/>
            <w:vAlign w:val="center"/>
          </w:tcPr>
          <w:p w14:paraId="59675F31">
            <w:pPr>
              <w:keepNext w:val="0"/>
              <w:keepLines w:val="0"/>
              <w:pageBreakBefore w:val="0"/>
              <w:kinsoku/>
              <w:wordWrap/>
              <w:overflowPunct/>
              <w:topLinePunct w:val="0"/>
              <w:autoSpaceDE/>
              <w:autoSpaceDN/>
              <w:bidi w:val="0"/>
              <w:adjustRightInd w:val="0"/>
              <w:snapToGrid w:val="0"/>
              <w:spacing w:line="240" w:lineRule="auto"/>
              <w:jc w:val="center"/>
              <w:rPr>
                <w:rFonts w:ascii="宋体" w:hAnsi="宋体"/>
                <w:bCs/>
                <w:szCs w:val="21"/>
              </w:rPr>
            </w:pPr>
          </w:p>
        </w:tc>
      </w:tr>
      <w:tr w14:paraId="6552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16" w:type="pct"/>
            <w:vAlign w:val="center"/>
          </w:tcPr>
          <w:p w14:paraId="0406AFA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Theme="minorEastAsia"/>
                <w:bCs/>
                <w:szCs w:val="21"/>
                <w:lang w:val="en-US" w:eastAsia="zh-CN"/>
              </w:rPr>
            </w:pPr>
            <w:r>
              <w:rPr>
                <w:rFonts w:hint="eastAsia" w:ascii="仿宋_GB2312" w:hAnsi="仿宋_GB2312" w:eastAsia="仿宋_GB2312" w:cs="仿宋_GB2312"/>
                <w:i w:val="0"/>
                <w:iCs w:val="0"/>
                <w:color w:val="000000"/>
                <w:kern w:val="0"/>
                <w:sz w:val="22"/>
                <w:szCs w:val="22"/>
                <w:u w:val="none"/>
                <w:lang w:val="en-US" w:eastAsia="zh-CN" w:bidi="ar"/>
              </w:rPr>
              <w:t>4</w:t>
            </w:r>
          </w:p>
        </w:tc>
        <w:tc>
          <w:tcPr>
            <w:tcW w:w="1673" w:type="pct"/>
            <w:vAlign w:val="center"/>
          </w:tcPr>
          <w:p w14:paraId="6873ED8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i w:val="0"/>
                <w:iCs w:val="0"/>
                <w:color w:val="000000"/>
                <w:kern w:val="0"/>
                <w:sz w:val="22"/>
                <w:szCs w:val="22"/>
                <w:u w:val="none"/>
                <w:lang w:val="en-US" w:eastAsia="zh-CN" w:bidi="ar"/>
              </w:rPr>
              <w:t>大茶几</w:t>
            </w:r>
          </w:p>
        </w:tc>
        <w:tc>
          <w:tcPr>
            <w:tcW w:w="671" w:type="pct"/>
            <w:vAlign w:val="center"/>
          </w:tcPr>
          <w:p w14:paraId="6DCA756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ascii="仿宋_GB2312" w:hAnsi="仿宋_GB2312" w:eastAsia="仿宋_GB2312" w:cs="仿宋_GB2312"/>
                <w:kern w:val="0"/>
                <w:sz w:val="24"/>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480" w:type="pct"/>
            <w:vAlign w:val="center"/>
          </w:tcPr>
          <w:p w14:paraId="2D86982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bCs/>
                <w:szCs w:val="21"/>
              </w:rPr>
            </w:pPr>
            <w:r>
              <w:rPr>
                <w:rFonts w:hint="eastAsia" w:ascii="仿宋_GB2312" w:hAnsi="仿宋_GB2312" w:eastAsia="仿宋_GB2312" w:cs="仿宋_GB2312"/>
                <w:i w:val="0"/>
                <w:iCs w:val="0"/>
                <w:color w:val="000000"/>
                <w:kern w:val="0"/>
                <w:sz w:val="22"/>
                <w:szCs w:val="22"/>
                <w:u w:val="none"/>
                <w:lang w:val="en-US" w:eastAsia="zh-CN" w:bidi="ar"/>
              </w:rPr>
              <w:t>套</w:t>
            </w:r>
          </w:p>
        </w:tc>
        <w:tc>
          <w:tcPr>
            <w:tcW w:w="758" w:type="pct"/>
            <w:vAlign w:val="center"/>
          </w:tcPr>
          <w:p w14:paraId="0EF6BBE6">
            <w:pPr>
              <w:keepNext w:val="0"/>
              <w:keepLines w:val="0"/>
              <w:pageBreakBefore w:val="0"/>
              <w:kinsoku/>
              <w:wordWrap/>
              <w:overflowPunct/>
              <w:topLinePunct w:val="0"/>
              <w:autoSpaceDE/>
              <w:autoSpaceDN/>
              <w:bidi w:val="0"/>
              <w:adjustRightInd w:val="0"/>
              <w:snapToGrid w:val="0"/>
              <w:spacing w:line="240" w:lineRule="auto"/>
              <w:rPr>
                <w:rFonts w:ascii="宋体" w:hAnsi="宋体"/>
                <w:bCs/>
                <w:szCs w:val="21"/>
              </w:rPr>
            </w:pPr>
          </w:p>
        </w:tc>
        <w:tc>
          <w:tcPr>
            <w:tcW w:w="1000" w:type="pct"/>
            <w:vAlign w:val="center"/>
          </w:tcPr>
          <w:p w14:paraId="2E874C08">
            <w:pPr>
              <w:keepNext w:val="0"/>
              <w:keepLines w:val="0"/>
              <w:pageBreakBefore w:val="0"/>
              <w:kinsoku/>
              <w:wordWrap/>
              <w:overflowPunct/>
              <w:topLinePunct w:val="0"/>
              <w:autoSpaceDE/>
              <w:autoSpaceDN/>
              <w:bidi w:val="0"/>
              <w:adjustRightInd w:val="0"/>
              <w:snapToGrid w:val="0"/>
              <w:spacing w:line="240" w:lineRule="auto"/>
              <w:jc w:val="center"/>
              <w:rPr>
                <w:rFonts w:ascii="宋体" w:hAnsi="宋体"/>
                <w:bCs/>
                <w:szCs w:val="21"/>
              </w:rPr>
            </w:pPr>
          </w:p>
        </w:tc>
      </w:tr>
      <w:tr w14:paraId="40AB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416" w:type="pct"/>
            <w:vAlign w:val="center"/>
          </w:tcPr>
          <w:p w14:paraId="5B7C46A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bCs/>
                <w:szCs w:val="21"/>
                <w:lang w:val="en-US" w:eastAsia="zh-CN"/>
              </w:rPr>
            </w:pPr>
            <w:r>
              <w:rPr>
                <w:rFonts w:hint="eastAsia" w:ascii="仿宋_GB2312" w:hAnsi="仿宋_GB2312" w:eastAsia="仿宋_GB2312" w:cs="仿宋_GB2312"/>
                <w:i w:val="0"/>
                <w:iCs w:val="0"/>
                <w:color w:val="000000"/>
                <w:kern w:val="0"/>
                <w:sz w:val="22"/>
                <w:szCs w:val="22"/>
                <w:u w:val="none"/>
                <w:lang w:val="en-US" w:eastAsia="zh-CN" w:bidi="ar"/>
              </w:rPr>
              <w:t>5</w:t>
            </w:r>
          </w:p>
        </w:tc>
        <w:tc>
          <w:tcPr>
            <w:tcW w:w="1673" w:type="pct"/>
            <w:vAlign w:val="center"/>
          </w:tcPr>
          <w:p w14:paraId="18D8EBB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低吧台</w:t>
            </w:r>
          </w:p>
        </w:tc>
        <w:tc>
          <w:tcPr>
            <w:tcW w:w="671" w:type="pct"/>
            <w:vAlign w:val="center"/>
          </w:tcPr>
          <w:p w14:paraId="61DB7E7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7</w:t>
            </w:r>
          </w:p>
        </w:tc>
        <w:tc>
          <w:tcPr>
            <w:tcW w:w="480" w:type="pct"/>
            <w:vAlign w:val="center"/>
          </w:tcPr>
          <w:p w14:paraId="7784D23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kern w:val="0"/>
                <w:sz w:val="24"/>
              </w:rPr>
            </w:pPr>
            <w:r>
              <w:rPr>
                <w:rFonts w:hint="eastAsia" w:ascii="仿宋_GB2312" w:hAnsi="仿宋_GB2312" w:eastAsia="仿宋_GB2312" w:cs="仿宋_GB2312"/>
                <w:i w:val="0"/>
                <w:iCs w:val="0"/>
                <w:color w:val="000000"/>
                <w:kern w:val="0"/>
                <w:sz w:val="22"/>
                <w:szCs w:val="22"/>
                <w:u w:val="none"/>
                <w:lang w:val="en-US" w:eastAsia="zh-CN" w:bidi="ar"/>
              </w:rPr>
              <w:t>米</w:t>
            </w:r>
          </w:p>
        </w:tc>
        <w:tc>
          <w:tcPr>
            <w:tcW w:w="758" w:type="pct"/>
            <w:vAlign w:val="center"/>
          </w:tcPr>
          <w:p w14:paraId="091D6C1C">
            <w:pPr>
              <w:keepNext w:val="0"/>
              <w:keepLines w:val="0"/>
              <w:pageBreakBefore w:val="0"/>
              <w:kinsoku/>
              <w:wordWrap/>
              <w:overflowPunct/>
              <w:topLinePunct w:val="0"/>
              <w:autoSpaceDE/>
              <w:autoSpaceDN/>
              <w:bidi w:val="0"/>
              <w:adjustRightInd w:val="0"/>
              <w:snapToGrid w:val="0"/>
              <w:spacing w:line="240" w:lineRule="auto"/>
              <w:rPr>
                <w:rFonts w:ascii="宋体" w:hAnsi="宋体"/>
                <w:bCs/>
                <w:szCs w:val="21"/>
              </w:rPr>
            </w:pPr>
          </w:p>
        </w:tc>
        <w:tc>
          <w:tcPr>
            <w:tcW w:w="1000" w:type="pct"/>
            <w:vAlign w:val="center"/>
          </w:tcPr>
          <w:p w14:paraId="0B05842D">
            <w:pPr>
              <w:keepNext w:val="0"/>
              <w:keepLines w:val="0"/>
              <w:pageBreakBefore w:val="0"/>
              <w:kinsoku/>
              <w:wordWrap/>
              <w:overflowPunct/>
              <w:topLinePunct w:val="0"/>
              <w:autoSpaceDE/>
              <w:autoSpaceDN/>
              <w:bidi w:val="0"/>
              <w:adjustRightInd w:val="0"/>
              <w:snapToGrid w:val="0"/>
              <w:spacing w:line="240" w:lineRule="auto"/>
              <w:jc w:val="center"/>
              <w:rPr>
                <w:rFonts w:ascii="宋体" w:hAnsi="宋体"/>
                <w:bCs/>
                <w:szCs w:val="21"/>
              </w:rPr>
            </w:pPr>
          </w:p>
        </w:tc>
      </w:tr>
      <w:tr w14:paraId="1FCD8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416" w:type="pct"/>
            <w:vAlign w:val="center"/>
          </w:tcPr>
          <w:p w14:paraId="13E6C75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bCs/>
                <w:szCs w:val="21"/>
                <w:lang w:val="en-US" w:eastAsia="zh-CN"/>
              </w:rPr>
            </w:pPr>
            <w:r>
              <w:rPr>
                <w:rFonts w:hint="eastAsia" w:ascii="宋体" w:hAnsi="宋体"/>
                <w:bCs/>
                <w:szCs w:val="21"/>
                <w:lang w:val="en-US" w:eastAsia="zh-CN"/>
              </w:rPr>
              <w:t>6</w:t>
            </w:r>
          </w:p>
        </w:tc>
        <w:tc>
          <w:tcPr>
            <w:tcW w:w="1673" w:type="pct"/>
            <w:vAlign w:val="center"/>
          </w:tcPr>
          <w:p w14:paraId="7ED03A9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餐桌</w:t>
            </w:r>
          </w:p>
        </w:tc>
        <w:tc>
          <w:tcPr>
            <w:tcW w:w="671" w:type="pct"/>
            <w:vAlign w:val="center"/>
          </w:tcPr>
          <w:p w14:paraId="622B866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4</w:t>
            </w:r>
          </w:p>
        </w:tc>
        <w:tc>
          <w:tcPr>
            <w:tcW w:w="480" w:type="pct"/>
            <w:vAlign w:val="center"/>
          </w:tcPr>
          <w:p w14:paraId="0DAB7E1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kern w:val="0"/>
                <w:sz w:val="24"/>
              </w:rPr>
            </w:pPr>
            <w:r>
              <w:rPr>
                <w:rFonts w:hint="eastAsia" w:ascii="仿宋_GB2312" w:hAnsi="仿宋_GB2312" w:eastAsia="仿宋_GB2312" w:cs="仿宋_GB2312"/>
                <w:i w:val="0"/>
                <w:iCs w:val="0"/>
                <w:color w:val="000000"/>
                <w:kern w:val="0"/>
                <w:sz w:val="22"/>
                <w:szCs w:val="22"/>
                <w:u w:val="none"/>
                <w:lang w:val="en-US" w:eastAsia="zh-CN" w:bidi="ar"/>
              </w:rPr>
              <w:t>张</w:t>
            </w:r>
          </w:p>
        </w:tc>
        <w:tc>
          <w:tcPr>
            <w:tcW w:w="758" w:type="pct"/>
            <w:vAlign w:val="center"/>
          </w:tcPr>
          <w:p w14:paraId="06368EA7">
            <w:pPr>
              <w:keepNext w:val="0"/>
              <w:keepLines w:val="0"/>
              <w:pageBreakBefore w:val="0"/>
              <w:kinsoku/>
              <w:wordWrap/>
              <w:overflowPunct/>
              <w:topLinePunct w:val="0"/>
              <w:autoSpaceDE/>
              <w:autoSpaceDN/>
              <w:bidi w:val="0"/>
              <w:adjustRightInd w:val="0"/>
              <w:snapToGrid w:val="0"/>
              <w:spacing w:line="240" w:lineRule="auto"/>
              <w:rPr>
                <w:rFonts w:ascii="宋体" w:hAnsi="宋体"/>
                <w:bCs/>
                <w:szCs w:val="21"/>
              </w:rPr>
            </w:pPr>
          </w:p>
        </w:tc>
        <w:tc>
          <w:tcPr>
            <w:tcW w:w="1000" w:type="pct"/>
            <w:vAlign w:val="center"/>
          </w:tcPr>
          <w:p w14:paraId="51F4A9FD">
            <w:pPr>
              <w:keepNext w:val="0"/>
              <w:keepLines w:val="0"/>
              <w:pageBreakBefore w:val="0"/>
              <w:kinsoku/>
              <w:wordWrap/>
              <w:overflowPunct/>
              <w:topLinePunct w:val="0"/>
              <w:autoSpaceDE/>
              <w:autoSpaceDN/>
              <w:bidi w:val="0"/>
              <w:adjustRightInd w:val="0"/>
              <w:snapToGrid w:val="0"/>
              <w:spacing w:line="240" w:lineRule="auto"/>
              <w:jc w:val="center"/>
              <w:rPr>
                <w:rFonts w:ascii="宋体" w:hAnsi="宋体"/>
                <w:bCs/>
                <w:szCs w:val="21"/>
              </w:rPr>
            </w:pPr>
          </w:p>
        </w:tc>
      </w:tr>
      <w:tr w14:paraId="5C0F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697" w:type="dxa"/>
            <w:vAlign w:val="center"/>
          </w:tcPr>
          <w:p w14:paraId="3A64362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bCs/>
                <w:szCs w:val="21"/>
                <w:lang w:val="en-US" w:eastAsia="zh-CN"/>
              </w:rPr>
            </w:pPr>
            <w:r>
              <w:rPr>
                <w:rFonts w:hint="eastAsia" w:ascii="仿宋_GB2312" w:hAnsi="仿宋_GB2312" w:eastAsia="仿宋_GB2312" w:cs="仿宋_GB2312"/>
                <w:i w:val="0"/>
                <w:iCs w:val="0"/>
                <w:color w:val="000000"/>
                <w:kern w:val="0"/>
                <w:sz w:val="22"/>
                <w:szCs w:val="22"/>
                <w:u w:val="none"/>
                <w:lang w:val="en-US" w:eastAsia="zh-CN" w:bidi="ar"/>
              </w:rPr>
              <w:t>7</w:t>
            </w:r>
          </w:p>
        </w:tc>
        <w:tc>
          <w:tcPr>
            <w:tcW w:w="1673" w:type="pct"/>
            <w:vAlign w:val="center"/>
          </w:tcPr>
          <w:p w14:paraId="12F35DC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餐椅</w:t>
            </w:r>
          </w:p>
        </w:tc>
        <w:tc>
          <w:tcPr>
            <w:tcW w:w="671" w:type="pct"/>
            <w:vAlign w:val="center"/>
          </w:tcPr>
          <w:p w14:paraId="085344A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_GB2312" w:hAnsi="仿宋_GB2312" w:eastAsia="仿宋_GB2312" w:cs="仿宋_GB2312"/>
                <w:color w:val="000000" w:themeColor="text1"/>
                <w:kern w:val="2"/>
                <w:lang w:val="en-US"/>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22</w:t>
            </w:r>
          </w:p>
        </w:tc>
        <w:tc>
          <w:tcPr>
            <w:tcW w:w="480" w:type="pct"/>
            <w:vAlign w:val="center"/>
          </w:tcPr>
          <w:p w14:paraId="1014565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kern w:val="0"/>
                <w:sz w:val="24"/>
              </w:rPr>
            </w:pPr>
            <w:r>
              <w:rPr>
                <w:rFonts w:hint="eastAsia" w:ascii="仿宋_GB2312" w:hAnsi="仿宋_GB2312" w:eastAsia="仿宋_GB2312" w:cs="仿宋_GB2312"/>
                <w:i w:val="0"/>
                <w:iCs w:val="0"/>
                <w:color w:val="000000"/>
                <w:kern w:val="0"/>
                <w:sz w:val="22"/>
                <w:szCs w:val="22"/>
                <w:u w:val="none"/>
                <w:lang w:val="en-US" w:eastAsia="zh-CN" w:bidi="ar"/>
              </w:rPr>
              <w:t>把</w:t>
            </w:r>
          </w:p>
        </w:tc>
        <w:tc>
          <w:tcPr>
            <w:tcW w:w="758" w:type="pct"/>
            <w:vAlign w:val="center"/>
          </w:tcPr>
          <w:p w14:paraId="25FC8C8E">
            <w:pPr>
              <w:keepNext w:val="0"/>
              <w:keepLines w:val="0"/>
              <w:pageBreakBefore w:val="0"/>
              <w:kinsoku/>
              <w:wordWrap/>
              <w:overflowPunct/>
              <w:topLinePunct w:val="0"/>
              <w:autoSpaceDE/>
              <w:autoSpaceDN/>
              <w:bidi w:val="0"/>
              <w:adjustRightInd w:val="0"/>
              <w:snapToGrid w:val="0"/>
              <w:spacing w:line="240" w:lineRule="auto"/>
              <w:rPr>
                <w:rFonts w:ascii="宋体" w:hAnsi="宋体"/>
                <w:bCs/>
                <w:szCs w:val="21"/>
              </w:rPr>
            </w:pPr>
          </w:p>
        </w:tc>
        <w:tc>
          <w:tcPr>
            <w:tcW w:w="1000" w:type="pct"/>
            <w:vAlign w:val="center"/>
          </w:tcPr>
          <w:p w14:paraId="29297C3D">
            <w:pPr>
              <w:keepNext w:val="0"/>
              <w:keepLines w:val="0"/>
              <w:pageBreakBefore w:val="0"/>
              <w:kinsoku/>
              <w:wordWrap/>
              <w:overflowPunct/>
              <w:topLinePunct w:val="0"/>
              <w:autoSpaceDE/>
              <w:autoSpaceDN/>
              <w:bidi w:val="0"/>
              <w:adjustRightInd w:val="0"/>
              <w:snapToGrid w:val="0"/>
              <w:spacing w:line="240" w:lineRule="auto"/>
              <w:jc w:val="center"/>
              <w:rPr>
                <w:rFonts w:ascii="宋体" w:hAnsi="宋体"/>
                <w:bCs/>
                <w:szCs w:val="21"/>
              </w:rPr>
            </w:pPr>
          </w:p>
        </w:tc>
      </w:tr>
      <w:tr w14:paraId="5707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697" w:type="dxa"/>
            <w:vAlign w:val="center"/>
          </w:tcPr>
          <w:p w14:paraId="0FE44E0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bCs/>
                <w:szCs w:val="21"/>
                <w:lang w:val="en-US" w:eastAsia="zh-CN"/>
              </w:rPr>
            </w:pPr>
            <w:r>
              <w:rPr>
                <w:rFonts w:hint="eastAsia" w:ascii="仿宋_GB2312" w:hAnsi="仿宋_GB2312" w:eastAsia="仿宋_GB2312" w:cs="仿宋_GB2312"/>
                <w:i w:val="0"/>
                <w:iCs w:val="0"/>
                <w:color w:val="000000"/>
                <w:kern w:val="0"/>
                <w:sz w:val="22"/>
                <w:szCs w:val="22"/>
                <w:u w:val="none"/>
                <w:lang w:val="en-US" w:eastAsia="zh-CN" w:bidi="ar"/>
              </w:rPr>
              <w:t>8</w:t>
            </w:r>
          </w:p>
        </w:tc>
        <w:tc>
          <w:tcPr>
            <w:tcW w:w="1673" w:type="pct"/>
            <w:vAlign w:val="center"/>
          </w:tcPr>
          <w:p w14:paraId="670B5AA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组合沙发</w:t>
            </w:r>
          </w:p>
        </w:tc>
        <w:tc>
          <w:tcPr>
            <w:tcW w:w="671" w:type="pct"/>
            <w:vAlign w:val="center"/>
          </w:tcPr>
          <w:p w14:paraId="3DF69E6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2</w:t>
            </w:r>
          </w:p>
        </w:tc>
        <w:tc>
          <w:tcPr>
            <w:tcW w:w="480" w:type="pct"/>
            <w:vAlign w:val="center"/>
          </w:tcPr>
          <w:p w14:paraId="020A2DF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kern w:val="0"/>
                <w:sz w:val="24"/>
              </w:rPr>
            </w:pPr>
            <w:r>
              <w:rPr>
                <w:rFonts w:hint="eastAsia" w:ascii="仿宋_GB2312" w:hAnsi="仿宋_GB2312" w:eastAsia="仿宋_GB2312" w:cs="仿宋_GB2312"/>
                <w:i w:val="0"/>
                <w:iCs w:val="0"/>
                <w:color w:val="000000"/>
                <w:kern w:val="0"/>
                <w:sz w:val="22"/>
                <w:szCs w:val="22"/>
                <w:u w:val="none"/>
                <w:lang w:val="en-US" w:eastAsia="zh-CN" w:bidi="ar"/>
              </w:rPr>
              <w:t>组</w:t>
            </w:r>
          </w:p>
        </w:tc>
        <w:tc>
          <w:tcPr>
            <w:tcW w:w="758" w:type="pct"/>
            <w:vAlign w:val="center"/>
          </w:tcPr>
          <w:p w14:paraId="25711C19">
            <w:pPr>
              <w:keepNext w:val="0"/>
              <w:keepLines w:val="0"/>
              <w:pageBreakBefore w:val="0"/>
              <w:kinsoku/>
              <w:wordWrap/>
              <w:overflowPunct/>
              <w:topLinePunct w:val="0"/>
              <w:autoSpaceDE/>
              <w:autoSpaceDN/>
              <w:bidi w:val="0"/>
              <w:adjustRightInd w:val="0"/>
              <w:snapToGrid w:val="0"/>
              <w:spacing w:line="240" w:lineRule="auto"/>
              <w:rPr>
                <w:rFonts w:ascii="宋体" w:hAnsi="宋体"/>
                <w:bCs/>
                <w:szCs w:val="21"/>
              </w:rPr>
            </w:pPr>
          </w:p>
        </w:tc>
        <w:tc>
          <w:tcPr>
            <w:tcW w:w="1000" w:type="pct"/>
            <w:vAlign w:val="center"/>
          </w:tcPr>
          <w:p w14:paraId="62546289">
            <w:pPr>
              <w:keepNext w:val="0"/>
              <w:keepLines w:val="0"/>
              <w:pageBreakBefore w:val="0"/>
              <w:kinsoku/>
              <w:wordWrap/>
              <w:overflowPunct/>
              <w:topLinePunct w:val="0"/>
              <w:autoSpaceDE/>
              <w:autoSpaceDN/>
              <w:bidi w:val="0"/>
              <w:adjustRightInd w:val="0"/>
              <w:snapToGrid w:val="0"/>
              <w:spacing w:line="240" w:lineRule="auto"/>
              <w:jc w:val="center"/>
              <w:rPr>
                <w:rFonts w:ascii="宋体" w:hAnsi="宋体"/>
                <w:bCs/>
                <w:szCs w:val="21"/>
              </w:rPr>
            </w:pPr>
          </w:p>
        </w:tc>
      </w:tr>
      <w:tr w14:paraId="5D14E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697" w:type="dxa"/>
            <w:vAlign w:val="center"/>
          </w:tcPr>
          <w:p w14:paraId="6DC7467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bCs/>
                <w:szCs w:val="21"/>
                <w:lang w:val="en-US" w:eastAsia="zh-CN"/>
              </w:rPr>
            </w:pPr>
            <w:r>
              <w:rPr>
                <w:rFonts w:hint="eastAsia" w:ascii="仿宋_GB2312" w:hAnsi="仿宋_GB2312" w:eastAsia="仿宋_GB2312" w:cs="仿宋_GB2312"/>
                <w:i w:val="0"/>
                <w:iCs w:val="0"/>
                <w:color w:val="000000"/>
                <w:kern w:val="0"/>
                <w:sz w:val="22"/>
                <w:szCs w:val="22"/>
                <w:u w:val="none"/>
                <w:lang w:val="en-US" w:eastAsia="zh-CN" w:bidi="ar"/>
              </w:rPr>
              <w:t>9</w:t>
            </w:r>
          </w:p>
        </w:tc>
        <w:tc>
          <w:tcPr>
            <w:tcW w:w="1673" w:type="pct"/>
            <w:vAlign w:val="center"/>
          </w:tcPr>
          <w:p w14:paraId="33ADD76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导诊台</w:t>
            </w:r>
          </w:p>
        </w:tc>
        <w:tc>
          <w:tcPr>
            <w:tcW w:w="671" w:type="pct"/>
            <w:vAlign w:val="center"/>
          </w:tcPr>
          <w:p w14:paraId="684D307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480" w:type="pct"/>
            <w:vAlign w:val="center"/>
          </w:tcPr>
          <w:p w14:paraId="613631B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kern w:val="0"/>
                <w:sz w:val="24"/>
              </w:rPr>
            </w:pPr>
            <w:r>
              <w:rPr>
                <w:rFonts w:hint="eastAsia" w:ascii="仿宋_GB2312" w:hAnsi="仿宋_GB2312" w:eastAsia="仿宋_GB2312" w:cs="仿宋_GB2312"/>
                <w:i w:val="0"/>
                <w:iCs w:val="0"/>
                <w:color w:val="000000"/>
                <w:kern w:val="0"/>
                <w:sz w:val="22"/>
                <w:szCs w:val="22"/>
                <w:u w:val="none"/>
                <w:lang w:val="en-US" w:eastAsia="zh-CN" w:bidi="ar"/>
              </w:rPr>
              <w:t>套</w:t>
            </w:r>
          </w:p>
        </w:tc>
        <w:tc>
          <w:tcPr>
            <w:tcW w:w="758" w:type="pct"/>
            <w:vAlign w:val="center"/>
          </w:tcPr>
          <w:p w14:paraId="33EA14FE">
            <w:pPr>
              <w:keepNext w:val="0"/>
              <w:keepLines w:val="0"/>
              <w:pageBreakBefore w:val="0"/>
              <w:kinsoku/>
              <w:wordWrap/>
              <w:overflowPunct/>
              <w:topLinePunct w:val="0"/>
              <w:autoSpaceDE/>
              <w:autoSpaceDN/>
              <w:bidi w:val="0"/>
              <w:adjustRightInd w:val="0"/>
              <w:snapToGrid w:val="0"/>
              <w:spacing w:line="240" w:lineRule="auto"/>
              <w:rPr>
                <w:rFonts w:ascii="宋体" w:hAnsi="宋体"/>
                <w:bCs/>
                <w:szCs w:val="21"/>
              </w:rPr>
            </w:pPr>
          </w:p>
        </w:tc>
        <w:tc>
          <w:tcPr>
            <w:tcW w:w="1000" w:type="pct"/>
            <w:vAlign w:val="center"/>
          </w:tcPr>
          <w:p w14:paraId="3F1F5AD7">
            <w:pPr>
              <w:keepNext w:val="0"/>
              <w:keepLines w:val="0"/>
              <w:pageBreakBefore w:val="0"/>
              <w:kinsoku/>
              <w:wordWrap/>
              <w:overflowPunct/>
              <w:topLinePunct w:val="0"/>
              <w:autoSpaceDE/>
              <w:autoSpaceDN/>
              <w:bidi w:val="0"/>
              <w:adjustRightInd w:val="0"/>
              <w:snapToGrid w:val="0"/>
              <w:spacing w:line="240" w:lineRule="auto"/>
              <w:jc w:val="center"/>
              <w:rPr>
                <w:rFonts w:ascii="宋体" w:hAnsi="宋体"/>
                <w:bCs/>
                <w:szCs w:val="21"/>
              </w:rPr>
            </w:pPr>
          </w:p>
        </w:tc>
      </w:tr>
      <w:tr w14:paraId="48BA4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697" w:type="dxa"/>
            <w:vAlign w:val="center"/>
          </w:tcPr>
          <w:p w14:paraId="0AF6A5E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Theme="minorEastAsia"/>
                <w:bCs/>
                <w:szCs w:val="21"/>
                <w:lang w:val="en-US" w:eastAsia="zh-CN"/>
              </w:rPr>
            </w:pPr>
            <w:r>
              <w:rPr>
                <w:rFonts w:hint="eastAsia" w:ascii="仿宋_GB2312" w:hAnsi="仿宋_GB2312" w:eastAsia="仿宋_GB2312" w:cs="仿宋_GB2312"/>
                <w:i w:val="0"/>
                <w:iCs w:val="0"/>
                <w:color w:val="000000"/>
                <w:kern w:val="0"/>
                <w:sz w:val="22"/>
                <w:szCs w:val="22"/>
                <w:u w:val="none"/>
                <w:lang w:val="en-US" w:eastAsia="zh-CN" w:bidi="ar"/>
              </w:rPr>
              <w:t>10</w:t>
            </w:r>
          </w:p>
        </w:tc>
        <w:tc>
          <w:tcPr>
            <w:tcW w:w="1673" w:type="pct"/>
            <w:vAlign w:val="center"/>
          </w:tcPr>
          <w:p w14:paraId="1892015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i w:val="0"/>
                <w:iCs w:val="0"/>
                <w:color w:val="000000"/>
                <w:kern w:val="0"/>
                <w:sz w:val="22"/>
                <w:szCs w:val="22"/>
                <w:u w:val="none"/>
                <w:lang w:val="en-US" w:eastAsia="zh-CN" w:bidi="ar"/>
              </w:rPr>
              <w:t>导诊椅</w:t>
            </w:r>
          </w:p>
        </w:tc>
        <w:tc>
          <w:tcPr>
            <w:tcW w:w="671" w:type="pct"/>
            <w:vAlign w:val="center"/>
          </w:tcPr>
          <w:p w14:paraId="46E0604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ascii="仿宋_GB2312" w:hAnsi="仿宋_GB2312" w:eastAsia="仿宋_GB2312" w:cs="仿宋_GB2312"/>
                <w:kern w:val="0"/>
                <w:sz w:val="24"/>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480" w:type="pct"/>
            <w:vAlign w:val="center"/>
          </w:tcPr>
          <w:p w14:paraId="494245E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bCs/>
                <w:szCs w:val="21"/>
              </w:rPr>
            </w:pPr>
            <w:r>
              <w:rPr>
                <w:rFonts w:hint="eastAsia" w:ascii="仿宋_GB2312" w:hAnsi="仿宋_GB2312" w:eastAsia="仿宋_GB2312" w:cs="仿宋_GB2312"/>
                <w:i w:val="0"/>
                <w:iCs w:val="0"/>
                <w:color w:val="000000"/>
                <w:kern w:val="0"/>
                <w:sz w:val="22"/>
                <w:szCs w:val="22"/>
                <w:u w:val="none"/>
                <w:lang w:val="en-US" w:eastAsia="zh-CN" w:bidi="ar"/>
              </w:rPr>
              <w:t>把</w:t>
            </w:r>
          </w:p>
        </w:tc>
        <w:tc>
          <w:tcPr>
            <w:tcW w:w="758" w:type="pct"/>
            <w:vAlign w:val="center"/>
          </w:tcPr>
          <w:p w14:paraId="319E2173">
            <w:pPr>
              <w:keepNext w:val="0"/>
              <w:keepLines w:val="0"/>
              <w:pageBreakBefore w:val="0"/>
              <w:kinsoku/>
              <w:wordWrap/>
              <w:overflowPunct/>
              <w:topLinePunct w:val="0"/>
              <w:autoSpaceDE/>
              <w:autoSpaceDN/>
              <w:bidi w:val="0"/>
              <w:adjustRightInd w:val="0"/>
              <w:snapToGrid w:val="0"/>
              <w:spacing w:line="240" w:lineRule="auto"/>
              <w:rPr>
                <w:rFonts w:ascii="宋体" w:hAnsi="宋体"/>
                <w:bCs/>
                <w:szCs w:val="21"/>
              </w:rPr>
            </w:pPr>
          </w:p>
        </w:tc>
        <w:tc>
          <w:tcPr>
            <w:tcW w:w="1000" w:type="pct"/>
            <w:vAlign w:val="center"/>
          </w:tcPr>
          <w:p w14:paraId="350268C4">
            <w:pPr>
              <w:keepNext w:val="0"/>
              <w:keepLines w:val="0"/>
              <w:pageBreakBefore w:val="0"/>
              <w:kinsoku/>
              <w:wordWrap/>
              <w:overflowPunct/>
              <w:topLinePunct w:val="0"/>
              <w:autoSpaceDE/>
              <w:autoSpaceDN/>
              <w:bidi w:val="0"/>
              <w:adjustRightInd w:val="0"/>
              <w:snapToGrid w:val="0"/>
              <w:spacing w:line="240" w:lineRule="auto"/>
              <w:jc w:val="center"/>
              <w:rPr>
                <w:rFonts w:ascii="宋体" w:hAnsi="宋体"/>
                <w:bCs/>
                <w:szCs w:val="21"/>
              </w:rPr>
            </w:pPr>
          </w:p>
        </w:tc>
      </w:tr>
      <w:tr w14:paraId="65BC2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241" w:type="pct"/>
            <w:gridSpan w:val="4"/>
            <w:vAlign w:val="center"/>
          </w:tcPr>
          <w:p w14:paraId="5FAE9F7B">
            <w:pPr>
              <w:keepNext w:val="0"/>
              <w:keepLines w:val="0"/>
              <w:pageBreakBefore w:val="0"/>
              <w:kinsoku/>
              <w:wordWrap/>
              <w:overflowPunct/>
              <w:topLinePunct w:val="0"/>
              <w:autoSpaceDE/>
              <w:autoSpaceDN/>
              <w:bidi w:val="0"/>
              <w:adjustRightInd w:val="0"/>
              <w:snapToGrid w:val="0"/>
              <w:spacing w:line="240" w:lineRule="auto"/>
              <w:jc w:val="right"/>
              <w:rPr>
                <w:rFonts w:ascii="宋体" w:hAnsi="宋体"/>
                <w:bCs/>
                <w:szCs w:val="21"/>
              </w:rPr>
            </w:pPr>
            <w:r>
              <w:rPr>
                <w:rFonts w:hint="eastAsia" w:ascii="宋体" w:hAnsi="宋体"/>
                <w:bCs/>
                <w:szCs w:val="21"/>
              </w:rPr>
              <w:t>合计总价：</w:t>
            </w:r>
          </w:p>
        </w:tc>
        <w:tc>
          <w:tcPr>
            <w:tcW w:w="1758" w:type="pct"/>
            <w:gridSpan w:val="2"/>
            <w:vAlign w:val="center"/>
          </w:tcPr>
          <w:p w14:paraId="4BE16568">
            <w:pPr>
              <w:keepNext w:val="0"/>
              <w:keepLines w:val="0"/>
              <w:pageBreakBefore w:val="0"/>
              <w:kinsoku/>
              <w:wordWrap/>
              <w:overflowPunct/>
              <w:topLinePunct w:val="0"/>
              <w:autoSpaceDE/>
              <w:autoSpaceDN/>
              <w:bidi w:val="0"/>
              <w:adjustRightInd w:val="0"/>
              <w:snapToGrid w:val="0"/>
              <w:spacing w:line="240" w:lineRule="auto"/>
              <w:jc w:val="center"/>
              <w:rPr>
                <w:rFonts w:ascii="宋体" w:hAnsi="宋体"/>
                <w:bCs/>
                <w:szCs w:val="21"/>
              </w:rPr>
            </w:pPr>
          </w:p>
        </w:tc>
      </w:tr>
    </w:tbl>
    <w:p w14:paraId="594C0C98">
      <w:pPr>
        <w:pStyle w:val="13"/>
        <w:ind w:left="0" w:leftChars="0" w:firstLine="0" w:firstLineChars="0"/>
        <w:rPr>
          <w:rFonts w:ascii="宋体" w:hAnsi="宋体"/>
          <w:sz w:val="24"/>
          <w:szCs w:val="24"/>
        </w:rPr>
      </w:pPr>
    </w:p>
    <w:p w14:paraId="2D463BB9">
      <w:pPr>
        <w:pStyle w:val="13"/>
        <w:ind w:left="0" w:leftChars="0" w:firstLine="0" w:firstLineChars="0"/>
        <w:rPr>
          <w:rFonts w:ascii="宋体" w:hAnsi="宋体"/>
          <w:sz w:val="24"/>
          <w:szCs w:val="24"/>
        </w:rPr>
      </w:pPr>
      <w:r>
        <w:rPr>
          <w:rFonts w:hint="eastAsia" w:ascii="宋体" w:hAnsi="宋体"/>
          <w:sz w:val="24"/>
          <w:szCs w:val="24"/>
        </w:rPr>
        <w:t>供应商授权代表(签字</w:t>
      </w:r>
      <w:r>
        <w:rPr>
          <w:rFonts w:ascii="宋体" w:hAnsi="宋体"/>
          <w:sz w:val="24"/>
          <w:szCs w:val="24"/>
        </w:rPr>
        <w:t>)</w:t>
      </w:r>
      <w:r>
        <w:rPr>
          <w:rFonts w:hint="eastAsia" w:ascii="宋体" w:hAnsi="宋体"/>
          <w:sz w:val="24"/>
          <w:szCs w:val="24"/>
        </w:rPr>
        <w:t>：_</w:t>
      </w:r>
      <w:r>
        <w:rPr>
          <w:rFonts w:ascii="宋体" w:hAnsi="宋体"/>
          <w:sz w:val="24"/>
          <w:szCs w:val="24"/>
        </w:rPr>
        <w:t>____________________</w:t>
      </w:r>
    </w:p>
    <w:p w14:paraId="3B995995">
      <w:pPr>
        <w:pStyle w:val="13"/>
        <w:ind w:left="0" w:leftChars="0" w:firstLine="0" w:firstLineChars="0"/>
        <w:rPr>
          <w:rFonts w:ascii="宋体" w:hAnsi="宋体"/>
          <w:sz w:val="24"/>
          <w:szCs w:val="24"/>
        </w:rPr>
      </w:pPr>
      <w:r>
        <w:rPr>
          <w:rFonts w:hint="eastAsia" w:ascii="宋体" w:hAnsi="宋体"/>
          <w:sz w:val="24"/>
          <w:szCs w:val="24"/>
        </w:rPr>
        <w:t>联系电话：</w:t>
      </w:r>
    </w:p>
    <w:p w14:paraId="45D9FD06">
      <w:pPr>
        <w:pStyle w:val="13"/>
        <w:ind w:left="0" w:leftChars="0" w:firstLine="0" w:firstLineChars="0"/>
        <w:rPr>
          <w:rFonts w:ascii="仿宋_GB2312" w:hAnsi="仿宋_GB2312" w:eastAsia="仿宋_GB2312" w:cs="仿宋_GB2312"/>
          <w:sz w:val="24"/>
          <w:szCs w:val="24"/>
        </w:rPr>
      </w:pPr>
      <w:r>
        <w:rPr>
          <w:rFonts w:hint="eastAsia" w:ascii="宋体" w:hAnsi="宋体"/>
          <w:sz w:val="24"/>
          <w:szCs w:val="24"/>
        </w:rPr>
        <w:t>备注</w:t>
      </w:r>
      <w:r>
        <w:rPr>
          <w:rFonts w:hint="eastAsia"/>
          <w:spacing w:val="-9"/>
          <w:sz w:val="24"/>
          <w:szCs w:val="24"/>
        </w:rPr>
        <w:t>：</w:t>
      </w:r>
    </w:p>
    <w:p w14:paraId="1A2BDB2A">
      <w:pPr>
        <w:pStyle w:val="13"/>
        <w:ind w:left="0" w:leftChars="0" w:firstLine="0" w:firstLineChars="0"/>
        <w:rPr>
          <w:rFonts w:ascii="仿宋_GB2312" w:hAnsi="仿宋_GB2312" w:eastAsia="仿宋_GB2312" w:cs="仿宋_GB2312"/>
          <w:sz w:val="24"/>
        </w:rPr>
      </w:pPr>
    </w:p>
    <w:sectPr>
      <w:headerReference r:id="rId3" w:type="default"/>
      <w:footerReference r:id="rId4" w:type="default"/>
      <w:pgSz w:w="11900" w:h="16840"/>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华文楷体">
    <w:panose1 w:val="02010600040101010101"/>
    <w:charset w:val="86"/>
    <w:family w:val="auto"/>
    <w:pitch w:val="default"/>
    <w:sig w:usb0="00000287" w:usb1="080F0000" w:usb2="00000000" w:usb3="00000000" w:csb0="0004009F" w:csb1="DFD7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4E5F2">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AE7914">
                          <w:pPr>
                            <w:pStyle w:val="9"/>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jrMLzsEBAACNAwAADgAAAAAAAAABACAAAAAeAQAAZHJzL2Uyb0RvYy54bWxQSwUG&#10;AAAAAAYABgBZAQAAUQUAAAAA&#10;">
              <v:fill on="f" focussize="0,0"/>
              <v:stroke on="f"/>
              <v:imagedata o:title=""/>
              <o:lock v:ext="edit" aspectratio="f"/>
              <v:textbox inset="0mm,0mm,0mm,0mm" style="mso-fit-shape-to-text:t;">
                <w:txbxContent>
                  <w:p w14:paraId="30AE7914">
                    <w:pPr>
                      <w:pStyle w:val="9"/>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FBE3A">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hideGrammaticalErrors/>
  <w:documentProtection w:enforcement="0"/>
  <w:defaultTabStop w:val="419"/>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MzZGM3NjU1ZGIzYzI3NWQ0MmFiNjdkNDAzMTI3YTQifQ=="/>
  </w:docVars>
  <w:rsids>
    <w:rsidRoot w:val="008F294C"/>
    <w:rsid w:val="00017EC7"/>
    <w:rsid w:val="00033839"/>
    <w:rsid w:val="00033C45"/>
    <w:rsid w:val="0005284C"/>
    <w:rsid w:val="00054AA8"/>
    <w:rsid w:val="00064423"/>
    <w:rsid w:val="000762D5"/>
    <w:rsid w:val="00081301"/>
    <w:rsid w:val="000914B2"/>
    <w:rsid w:val="000935C6"/>
    <w:rsid w:val="00094A2A"/>
    <w:rsid w:val="000A7AFC"/>
    <w:rsid w:val="000B2854"/>
    <w:rsid w:val="000C429D"/>
    <w:rsid w:val="000C743C"/>
    <w:rsid w:val="000D382E"/>
    <w:rsid w:val="000F2B83"/>
    <w:rsid w:val="001003C8"/>
    <w:rsid w:val="001052A0"/>
    <w:rsid w:val="00112CC3"/>
    <w:rsid w:val="0011378F"/>
    <w:rsid w:val="00122BF7"/>
    <w:rsid w:val="001250A0"/>
    <w:rsid w:val="001260A5"/>
    <w:rsid w:val="00133B29"/>
    <w:rsid w:val="0016016F"/>
    <w:rsid w:val="00165255"/>
    <w:rsid w:val="00177598"/>
    <w:rsid w:val="00182005"/>
    <w:rsid w:val="00182AA9"/>
    <w:rsid w:val="001834EA"/>
    <w:rsid w:val="001B06FE"/>
    <w:rsid w:val="001B3B15"/>
    <w:rsid w:val="001E6D9B"/>
    <w:rsid w:val="001F32EB"/>
    <w:rsid w:val="001F72EA"/>
    <w:rsid w:val="002001EF"/>
    <w:rsid w:val="002169C6"/>
    <w:rsid w:val="002175D5"/>
    <w:rsid w:val="0022176A"/>
    <w:rsid w:val="00234EE2"/>
    <w:rsid w:val="0024538F"/>
    <w:rsid w:val="00245ABC"/>
    <w:rsid w:val="0025311A"/>
    <w:rsid w:val="00254F64"/>
    <w:rsid w:val="002551F3"/>
    <w:rsid w:val="00255E05"/>
    <w:rsid w:val="00264005"/>
    <w:rsid w:val="00276DCD"/>
    <w:rsid w:val="00280A6A"/>
    <w:rsid w:val="002A7AD0"/>
    <w:rsid w:val="002B03EA"/>
    <w:rsid w:val="002C181E"/>
    <w:rsid w:val="002C284F"/>
    <w:rsid w:val="002C3634"/>
    <w:rsid w:val="002D1DB4"/>
    <w:rsid w:val="002D5ACE"/>
    <w:rsid w:val="002E4D1F"/>
    <w:rsid w:val="00314F7E"/>
    <w:rsid w:val="00317C9C"/>
    <w:rsid w:val="00321FF2"/>
    <w:rsid w:val="0032514A"/>
    <w:rsid w:val="0033342A"/>
    <w:rsid w:val="003375F2"/>
    <w:rsid w:val="003437B1"/>
    <w:rsid w:val="0035465B"/>
    <w:rsid w:val="003629D9"/>
    <w:rsid w:val="00362B69"/>
    <w:rsid w:val="00380451"/>
    <w:rsid w:val="00381179"/>
    <w:rsid w:val="00385822"/>
    <w:rsid w:val="00385995"/>
    <w:rsid w:val="003928D9"/>
    <w:rsid w:val="003A706B"/>
    <w:rsid w:val="003B1639"/>
    <w:rsid w:val="003B3054"/>
    <w:rsid w:val="003E1E7D"/>
    <w:rsid w:val="003E413B"/>
    <w:rsid w:val="003F1CC5"/>
    <w:rsid w:val="003F5B0B"/>
    <w:rsid w:val="003F60A1"/>
    <w:rsid w:val="00401A43"/>
    <w:rsid w:val="0041083D"/>
    <w:rsid w:val="00410F34"/>
    <w:rsid w:val="00412469"/>
    <w:rsid w:val="00424A2A"/>
    <w:rsid w:val="00430F1C"/>
    <w:rsid w:val="00463735"/>
    <w:rsid w:val="004678AA"/>
    <w:rsid w:val="00475E63"/>
    <w:rsid w:val="004765E2"/>
    <w:rsid w:val="0048273F"/>
    <w:rsid w:val="00497597"/>
    <w:rsid w:val="004C5CC1"/>
    <w:rsid w:val="004D3A69"/>
    <w:rsid w:val="004D5BDC"/>
    <w:rsid w:val="004D740F"/>
    <w:rsid w:val="004E0223"/>
    <w:rsid w:val="004F0BA3"/>
    <w:rsid w:val="004F6B91"/>
    <w:rsid w:val="005054ED"/>
    <w:rsid w:val="0050637C"/>
    <w:rsid w:val="00512EEE"/>
    <w:rsid w:val="00513686"/>
    <w:rsid w:val="005168A8"/>
    <w:rsid w:val="00526685"/>
    <w:rsid w:val="00527CAA"/>
    <w:rsid w:val="00535489"/>
    <w:rsid w:val="00564C6D"/>
    <w:rsid w:val="00572F3B"/>
    <w:rsid w:val="00597A7C"/>
    <w:rsid w:val="005A55DD"/>
    <w:rsid w:val="005A5926"/>
    <w:rsid w:val="005B5697"/>
    <w:rsid w:val="005C43B4"/>
    <w:rsid w:val="005C501F"/>
    <w:rsid w:val="005C71D6"/>
    <w:rsid w:val="005D518E"/>
    <w:rsid w:val="005E5BAC"/>
    <w:rsid w:val="005E6495"/>
    <w:rsid w:val="005F4DB6"/>
    <w:rsid w:val="00600E35"/>
    <w:rsid w:val="006039F7"/>
    <w:rsid w:val="0060634A"/>
    <w:rsid w:val="006154DB"/>
    <w:rsid w:val="00653B6E"/>
    <w:rsid w:val="006565DE"/>
    <w:rsid w:val="00656D1F"/>
    <w:rsid w:val="00663784"/>
    <w:rsid w:val="00666518"/>
    <w:rsid w:val="00671AA9"/>
    <w:rsid w:val="006779B2"/>
    <w:rsid w:val="006815F0"/>
    <w:rsid w:val="00686A11"/>
    <w:rsid w:val="00696C70"/>
    <w:rsid w:val="006A4FB4"/>
    <w:rsid w:val="006A7115"/>
    <w:rsid w:val="006A78FE"/>
    <w:rsid w:val="006C01D4"/>
    <w:rsid w:val="006C2DCF"/>
    <w:rsid w:val="006C3C95"/>
    <w:rsid w:val="006E33C8"/>
    <w:rsid w:val="006E4B91"/>
    <w:rsid w:val="006F1648"/>
    <w:rsid w:val="00705EFD"/>
    <w:rsid w:val="00710B61"/>
    <w:rsid w:val="0072195B"/>
    <w:rsid w:val="00723D4F"/>
    <w:rsid w:val="00744051"/>
    <w:rsid w:val="00745DA6"/>
    <w:rsid w:val="00747877"/>
    <w:rsid w:val="007811BD"/>
    <w:rsid w:val="0078233B"/>
    <w:rsid w:val="007879F5"/>
    <w:rsid w:val="00790ECC"/>
    <w:rsid w:val="00795440"/>
    <w:rsid w:val="007A4721"/>
    <w:rsid w:val="007C68B1"/>
    <w:rsid w:val="007D196C"/>
    <w:rsid w:val="007F21E3"/>
    <w:rsid w:val="008022F2"/>
    <w:rsid w:val="0080439A"/>
    <w:rsid w:val="00805922"/>
    <w:rsid w:val="0081176D"/>
    <w:rsid w:val="00841D3F"/>
    <w:rsid w:val="00842F90"/>
    <w:rsid w:val="00860E4A"/>
    <w:rsid w:val="008901D2"/>
    <w:rsid w:val="0089687D"/>
    <w:rsid w:val="0089739C"/>
    <w:rsid w:val="008B16F1"/>
    <w:rsid w:val="008B4A24"/>
    <w:rsid w:val="008C41B2"/>
    <w:rsid w:val="008C52B4"/>
    <w:rsid w:val="008D1194"/>
    <w:rsid w:val="008D588C"/>
    <w:rsid w:val="008E1949"/>
    <w:rsid w:val="008F0659"/>
    <w:rsid w:val="008F294C"/>
    <w:rsid w:val="009004DB"/>
    <w:rsid w:val="00901872"/>
    <w:rsid w:val="00925546"/>
    <w:rsid w:val="009316A1"/>
    <w:rsid w:val="0093669A"/>
    <w:rsid w:val="0093770B"/>
    <w:rsid w:val="00937842"/>
    <w:rsid w:val="00945C1E"/>
    <w:rsid w:val="00946767"/>
    <w:rsid w:val="0095000D"/>
    <w:rsid w:val="009545E5"/>
    <w:rsid w:val="00965317"/>
    <w:rsid w:val="009778C7"/>
    <w:rsid w:val="0098513C"/>
    <w:rsid w:val="00986ACA"/>
    <w:rsid w:val="00997874"/>
    <w:rsid w:val="009A3AD1"/>
    <w:rsid w:val="009B15EB"/>
    <w:rsid w:val="009B413B"/>
    <w:rsid w:val="009D1CFC"/>
    <w:rsid w:val="009D6B77"/>
    <w:rsid w:val="009E0D7E"/>
    <w:rsid w:val="009E5390"/>
    <w:rsid w:val="00A01D02"/>
    <w:rsid w:val="00A03559"/>
    <w:rsid w:val="00A14AAC"/>
    <w:rsid w:val="00A153A7"/>
    <w:rsid w:val="00A27F8C"/>
    <w:rsid w:val="00A3333B"/>
    <w:rsid w:val="00A37085"/>
    <w:rsid w:val="00A4209E"/>
    <w:rsid w:val="00A423AD"/>
    <w:rsid w:val="00A43AC6"/>
    <w:rsid w:val="00A43E15"/>
    <w:rsid w:val="00A52B45"/>
    <w:rsid w:val="00A55424"/>
    <w:rsid w:val="00A5720C"/>
    <w:rsid w:val="00A60009"/>
    <w:rsid w:val="00A64B7B"/>
    <w:rsid w:val="00A839F7"/>
    <w:rsid w:val="00A8672B"/>
    <w:rsid w:val="00A952E3"/>
    <w:rsid w:val="00AA1006"/>
    <w:rsid w:val="00AA4B55"/>
    <w:rsid w:val="00AB48B7"/>
    <w:rsid w:val="00AC0453"/>
    <w:rsid w:val="00AE6905"/>
    <w:rsid w:val="00AF17C0"/>
    <w:rsid w:val="00AF337A"/>
    <w:rsid w:val="00B00626"/>
    <w:rsid w:val="00B24488"/>
    <w:rsid w:val="00B270BA"/>
    <w:rsid w:val="00B332C5"/>
    <w:rsid w:val="00B357F6"/>
    <w:rsid w:val="00B52A70"/>
    <w:rsid w:val="00B622C3"/>
    <w:rsid w:val="00B705A2"/>
    <w:rsid w:val="00B739CA"/>
    <w:rsid w:val="00B968B6"/>
    <w:rsid w:val="00BB498B"/>
    <w:rsid w:val="00BC1838"/>
    <w:rsid w:val="00BC415C"/>
    <w:rsid w:val="00BC4524"/>
    <w:rsid w:val="00BD789C"/>
    <w:rsid w:val="00BD78F8"/>
    <w:rsid w:val="00BE1A28"/>
    <w:rsid w:val="00BE4E22"/>
    <w:rsid w:val="00BF0305"/>
    <w:rsid w:val="00C00265"/>
    <w:rsid w:val="00C009EC"/>
    <w:rsid w:val="00C03FA4"/>
    <w:rsid w:val="00C119F8"/>
    <w:rsid w:val="00C3667D"/>
    <w:rsid w:val="00C55A1E"/>
    <w:rsid w:val="00C62E68"/>
    <w:rsid w:val="00C716DF"/>
    <w:rsid w:val="00C906CD"/>
    <w:rsid w:val="00C94D72"/>
    <w:rsid w:val="00CA00A5"/>
    <w:rsid w:val="00CC3AA4"/>
    <w:rsid w:val="00CD0F7A"/>
    <w:rsid w:val="00CD344F"/>
    <w:rsid w:val="00CF384C"/>
    <w:rsid w:val="00D014BD"/>
    <w:rsid w:val="00D11E7B"/>
    <w:rsid w:val="00D12C9D"/>
    <w:rsid w:val="00D1484B"/>
    <w:rsid w:val="00D16A93"/>
    <w:rsid w:val="00D179DF"/>
    <w:rsid w:val="00D33AD0"/>
    <w:rsid w:val="00D4740A"/>
    <w:rsid w:val="00D5013E"/>
    <w:rsid w:val="00D50F38"/>
    <w:rsid w:val="00D51FA8"/>
    <w:rsid w:val="00D52EA8"/>
    <w:rsid w:val="00D533D8"/>
    <w:rsid w:val="00D65806"/>
    <w:rsid w:val="00D754D3"/>
    <w:rsid w:val="00D91AC4"/>
    <w:rsid w:val="00DC2557"/>
    <w:rsid w:val="00DD072F"/>
    <w:rsid w:val="00E17256"/>
    <w:rsid w:val="00E21552"/>
    <w:rsid w:val="00E22D24"/>
    <w:rsid w:val="00E368A7"/>
    <w:rsid w:val="00E417D0"/>
    <w:rsid w:val="00E515F2"/>
    <w:rsid w:val="00E54530"/>
    <w:rsid w:val="00E545EB"/>
    <w:rsid w:val="00E5690F"/>
    <w:rsid w:val="00E60FE3"/>
    <w:rsid w:val="00E6627B"/>
    <w:rsid w:val="00E7636B"/>
    <w:rsid w:val="00E918EE"/>
    <w:rsid w:val="00EB2819"/>
    <w:rsid w:val="00EB4367"/>
    <w:rsid w:val="00EB63FC"/>
    <w:rsid w:val="00EC1164"/>
    <w:rsid w:val="00EC20AE"/>
    <w:rsid w:val="00EC4572"/>
    <w:rsid w:val="00ED23B5"/>
    <w:rsid w:val="00ED51D8"/>
    <w:rsid w:val="00ED540F"/>
    <w:rsid w:val="00EE483C"/>
    <w:rsid w:val="00EE5771"/>
    <w:rsid w:val="00EF1E9F"/>
    <w:rsid w:val="00EF3B66"/>
    <w:rsid w:val="00F02E01"/>
    <w:rsid w:val="00F10D63"/>
    <w:rsid w:val="00F12096"/>
    <w:rsid w:val="00F15F4A"/>
    <w:rsid w:val="00F20C77"/>
    <w:rsid w:val="00F56E88"/>
    <w:rsid w:val="00F570DE"/>
    <w:rsid w:val="00F6286B"/>
    <w:rsid w:val="00F660BD"/>
    <w:rsid w:val="00F6788B"/>
    <w:rsid w:val="00FB2B4E"/>
    <w:rsid w:val="00FB5470"/>
    <w:rsid w:val="00FB54B7"/>
    <w:rsid w:val="00FC0E73"/>
    <w:rsid w:val="00FC6132"/>
    <w:rsid w:val="00FD1C34"/>
    <w:rsid w:val="00FD5A4F"/>
    <w:rsid w:val="00FE40A6"/>
    <w:rsid w:val="00FF1100"/>
    <w:rsid w:val="00FF6D04"/>
    <w:rsid w:val="013E377E"/>
    <w:rsid w:val="023B0973"/>
    <w:rsid w:val="031418F0"/>
    <w:rsid w:val="05557663"/>
    <w:rsid w:val="05C869C2"/>
    <w:rsid w:val="0855058A"/>
    <w:rsid w:val="0961003A"/>
    <w:rsid w:val="09AA11B3"/>
    <w:rsid w:val="09AF5BE6"/>
    <w:rsid w:val="0D963232"/>
    <w:rsid w:val="0E3176E6"/>
    <w:rsid w:val="100362E7"/>
    <w:rsid w:val="14F57810"/>
    <w:rsid w:val="218A5ACA"/>
    <w:rsid w:val="263B71BF"/>
    <w:rsid w:val="2A574CBB"/>
    <w:rsid w:val="2C2D606D"/>
    <w:rsid w:val="2C971491"/>
    <w:rsid w:val="2D9606E3"/>
    <w:rsid w:val="2DFF5C06"/>
    <w:rsid w:val="2F8D3992"/>
    <w:rsid w:val="34551D5F"/>
    <w:rsid w:val="346F58D1"/>
    <w:rsid w:val="38226E32"/>
    <w:rsid w:val="3BD42873"/>
    <w:rsid w:val="3C061922"/>
    <w:rsid w:val="3D5D0969"/>
    <w:rsid w:val="3DC67E9F"/>
    <w:rsid w:val="3EB5160E"/>
    <w:rsid w:val="45B31A3F"/>
    <w:rsid w:val="48472425"/>
    <w:rsid w:val="4CD34FFD"/>
    <w:rsid w:val="4D4724FE"/>
    <w:rsid w:val="5EA71BFC"/>
    <w:rsid w:val="607B5D1F"/>
    <w:rsid w:val="60DD7EBC"/>
    <w:rsid w:val="61A54544"/>
    <w:rsid w:val="61C93F36"/>
    <w:rsid w:val="625C6580"/>
    <w:rsid w:val="6283357C"/>
    <w:rsid w:val="65FB49E1"/>
    <w:rsid w:val="67DC5256"/>
    <w:rsid w:val="687051D2"/>
    <w:rsid w:val="6895604D"/>
    <w:rsid w:val="6B3C2288"/>
    <w:rsid w:val="6D5D3EE8"/>
    <w:rsid w:val="6F1A0269"/>
    <w:rsid w:val="71CB5E83"/>
    <w:rsid w:val="728F3D2C"/>
    <w:rsid w:val="74394FB6"/>
    <w:rsid w:val="7BE01E7B"/>
    <w:rsid w:val="7DC71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outlineLvl w:val="2"/>
    </w:pPr>
    <w:rPr>
      <w:rFonts w:ascii="楷体_GB2312" w:hAnsi="宋体" w:eastAsia="黑体"/>
      <w:b/>
      <w:bCs/>
      <w:sz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6"/>
    <w:unhideWhenUsed/>
    <w:qFormat/>
    <w:uiPriority w:val="0"/>
    <w:pPr>
      <w:jc w:val="left"/>
    </w:pPr>
  </w:style>
  <w:style w:type="paragraph" w:styleId="5">
    <w:name w:val="Body Text"/>
    <w:basedOn w:val="1"/>
    <w:link w:val="36"/>
    <w:semiHidden/>
    <w:unhideWhenUsed/>
    <w:qFormat/>
    <w:uiPriority w:val="99"/>
    <w:pPr>
      <w:spacing w:after="120"/>
    </w:pPr>
  </w:style>
  <w:style w:type="paragraph" w:styleId="6">
    <w:name w:val="Body Text Indent"/>
    <w:basedOn w:val="1"/>
    <w:qFormat/>
    <w:uiPriority w:val="99"/>
    <w:pPr>
      <w:spacing w:line="360" w:lineRule="auto"/>
      <w:ind w:firstLine="570"/>
    </w:pPr>
  </w:style>
  <w:style w:type="paragraph" w:styleId="7">
    <w:name w:val="Plain Text"/>
    <w:basedOn w:val="1"/>
    <w:qFormat/>
    <w:uiPriority w:val="99"/>
    <w:rPr>
      <w:rFonts w:ascii="宋体" w:hAnsi="Courier New" w:cs="Times New Roman"/>
      <w:szCs w:val="20"/>
    </w:rPr>
  </w:style>
  <w:style w:type="paragraph" w:styleId="8">
    <w:name w:val="Balloon Text"/>
    <w:basedOn w:val="1"/>
    <w:link w:val="23"/>
    <w:semiHidden/>
    <w:unhideWhenUsed/>
    <w:qFormat/>
    <w:uiPriority w:val="99"/>
    <w:rPr>
      <w:sz w:val="18"/>
      <w:szCs w:val="18"/>
    </w:rPr>
  </w:style>
  <w:style w:type="paragraph" w:styleId="9">
    <w:name w:val="footer"/>
    <w:basedOn w:val="1"/>
    <w:link w:val="22"/>
    <w:unhideWhenUsed/>
    <w:qFormat/>
    <w:uiPriority w:val="99"/>
    <w:pPr>
      <w:tabs>
        <w:tab w:val="center" w:pos="4153"/>
        <w:tab w:val="right" w:pos="8306"/>
      </w:tabs>
      <w:snapToGrid w:val="0"/>
      <w:jc w:val="left"/>
    </w:pPr>
    <w:rPr>
      <w:sz w:val="18"/>
      <w:szCs w:val="18"/>
    </w:rPr>
  </w:style>
  <w:style w:type="paragraph" w:styleId="10">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2">
    <w:name w:val="annotation subject"/>
    <w:basedOn w:val="4"/>
    <w:next w:val="4"/>
    <w:link w:val="27"/>
    <w:semiHidden/>
    <w:unhideWhenUsed/>
    <w:qFormat/>
    <w:uiPriority w:val="99"/>
    <w:rPr>
      <w:b/>
      <w:bCs/>
    </w:rPr>
  </w:style>
  <w:style w:type="paragraph" w:styleId="13">
    <w:name w:val="Body Text First Indent 2"/>
    <w:basedOn w:val="6"/>
    <w:qFormat/>
    <w:uiPriority w:val="0"/>
    <w:pPr>
      <w:spacing w:after="120" w:line="240" w:lineRule="auto"/>
      <w:ind w:left="420" w:leftChars="200" w:firstLine="420" w:firstLineChars="200"/>
    </w:pPr>
    <w:rPr>
      <w:szCs w:val="20"/>
    </w:rPr>
  </w:style>
  <w:style w:type="table" w:styleId="15">
    <w:name w:val="Table Grid"/>
    <w:basedOn w:val="1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bCs/>
    </w:rPr>
  </w:style>
  <w:style w:type="character" w:styleId="18">
    <w:name w:val="FollowedHyperlink"/>
    <w:basedOn w:val="16"/>
    <w:semiHidden/>
    <w:unhideWhenUsed/>
    <w:qFormat/>
    <w:uiPriority w:val="99"/>
    <w:rPr>
      <w:color w:val="954F72" w:themeColor="followedHyperlink"/>
      <w:u w:val="single"/>
      <w14:textFill>
        <w14:solidFill>
          <w14:schemeClr w14:val="folHlink"/>
        </w14:solidFill>
      </w14:textFill>
    </w:rPr>
  </w:style>
  <w:style w:type="character" w:styleId="19">
    <w:name w:val="Hyperlink"/>
    <w:basedOn w:val="16"/>
    <w:unhideWhenUsed/>
    <w:qFormat/>
    <w:uiPriority w:val="99"/>
    <w:rPr>
      <w:color w:val="0563C1" w:themeColor="hyperlink"/>
      <w:u w:val="single"/>
      <w14:textFill>
        <w14:solidFill>
          <w14:schemeClr w14:val="hlink"/>
        </w14:solidFill>
      </w14:textFill>
    </w:rPr>
  </w:style>
  <w:style w:type="character" w:styleId="20">
    <w:name w:val="annotation reference"/>
    <w:basedOn w:val="16"/>
    <w:semiHidden/>
    <w:unhideWhenUsed/>
    <w:qFormat/>
    <w:uiPriority w:val="99"/>
    <w:rPr>
      <w:sz w:val="21"/>
      <w:szCs w:val="21"/>
    </w:rPr>
  </w:style>
  <w:style w:type="character" w:customStyle="1" w:styleId="21">
    <w:name w:val="页眉 字符"/>
    <w:basedOn w:val="16"/>
    <w:link w:val="10"/>
    <w:qFormat/>
    <w:uiPriority w:val="99"/>
    <w:rPr>
      <w:sz w:val="18"/>
      <w:szCs w:val="18"/>
    </w:rPr>
  </w:style>
  <w:style w:type="character" w:customStyle="1" w:styleId="22">
    <w:name w:val="页脚 字符"/>
    <w:basedOn w:val="16"/>
    <w:link w:val="9"/>
    <w:qFormat/>
    <w:uiPriority w:val="99"/>
    <w:rPr>
      <w:sz w:val="18"/>
      <w:szCs w:val="18"/>
    </w:rPr>
  </w:style>
  <w:style w:type="character" w:customStyle="1" w:styleId="23">
    <w:name w:val="批注框文本 字符"/>
    <w:basedOn w:val="16"/>
    <w:link w:val="8"/>
    <w:semiHidden/>
    <w:qFormat/>
    <w:uiPriority w:val="99"/>
    <w:rPr>
      <w:sz w:val="18"/>
      <w:szCs w:val="18"/>
    </w:rPr>
  </w:style>
  <w:style w:type="paragraph" w:styleId="24">
    <w:name w:val="List Paragraph"/>
    <w:basedOn w:val="1"/>
    <w:qFormat/>
    <w:uiPriority w:val="34"/>
    <w:pPr>
      <w:ind w:firstLine="420" w:firstLineChars="200"/>
    </w:pPr>
    <w:rPr>
      <w:rFonts w:eastAsia="黑体"/>
      <w:bCs/>
      <w:sz w:val="30"/>
      <w:szCs w:val="30"/>
    </w:rPr>
  </w:style>
  <w:style w:type="paragraph" w:customStyle="1" w:styleId="25">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6">
    <w:name w:val="批注文字 字符"/>
    <w:basedOn w:val="16"/>
    <w:link w:val="4"/>
    <w:qFormat/>
    <w:uiPriority w:val="0"/>
    <w:rPr>
      <w:rFonts w:asciiTheme="minorHAnsi" w:hAnsiTheme="minorHAnsi" w:eastAsiaTheme="minorEastAsia" w:cstheme="minorBidi"/>
      <w:kern w:val="2"/>
      <w:sz w:val="21"/>
      <w:szCs w:val="24"/>
    </w:rPr>
  </w:style>
  <w:style w:type="character" w:customStyle="1" w:styleId="27">
    <w:name w:val="批注主题 字符"/>
    <w:basedOn w:val="26"/>
    <w:link w:val="12"/>
    <w:semiHidden/>
    <w:qFormat/>
    <w:uiPriority w:val="99"/>
    <w:rPr>
      <w:rFonts w:asciiTheme="minorHAnsi" w:hAnsiTheme="minorHAnsi" w:eastAsiaTheme="minorEastAsia" w:cstheme="minorBidi"/>
      <w:b/>
      <w:bCs/>
      <w:kern w:val="2"/>
      <w:sz w:val="21"/>
      <w:szCs w:val="24"/>
    </w:rPr>
  </w:style>
  <w:style w:type="character" w:customStyle="1" w:styleId="28">
    <w:name w:val="标题 1 字符"/>
    <w:basedOn w:val="16"/>
    <w:link w:val="2"/>
    <w:qFormat/>
    <w:uiPriority w:val="9"/>
    <w:rPr>
      <w:rFonts w:asciiTheme="minorHAnsi" w:hAnsiTheme="minorHAnsi" w:eastAsiaTheme="minorEastAsia" w:cstheme="minorBidi"/>
      <w:b/>
      <w:bCs/>
      <w:kern w:val="44"/>
      <w:sz w:val="44"/>
      <w:szCs w:val="44"/>
    </w:rPr>
  </w:style>
  <w:style w:type="character" w:customStyle="1" w:styleId="29">
    <w:name w:val="未处理的提及1"/>
    <w:basedOn w:val="16"/>
    <w:semiHidden/>
    <w:unhideWhenUsed/>
    <w:qFormat/>
    <w:uiPriority w:val="99"/>
    <w:rPr>
      <w:color w:val="605E5C"/>
      <w:shd w:val="clear" w:color="auto" w:fill="E1DFDD"/>
    </w:rPr>
  </w:style>
  <w:style w:type="paragraph" w:customStyle="1" w:styleId="30">
    <w:name w:val="修订2"/>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31">
    <w:name w:val="列出段落11"/>
    <w:basedOn w:val="1"/>
    <w:semiHidden/>
    <w:qFormat/>
    <w:uiPriority w:val="99"/>
    <w:pPr>
      <w:widowControl/>
      <w:spacing w:before="40" w:after="160"/>
      <w:ind w:firstLine="420" w:firstLineChars="200"/>
    </w:pPr>
    <w:rPr>
      <w:rFonts w:ascii="Cambria" w:hAnsi="Cambria" w:eastAsia="微软雅黑" w:cs="Cambria"/>
      <w:color w:val="565656"/>
      <w:kern w:val="20"/>
      <w:szCs w:val="21"/>
      <w:lang w:val="zh-CN"/>
    </w:rPr>
  </w:style>
  <w:style w:type="paragraph" w:customStyle="1" w:styleId="32">
    <w:name w:val="样式2"/>
    <w:basedOn w:val="1"/>
    <w:qFormat/>
    <w:uiPriority w:val="99"/>
    <w:pPr>
      <w:spacing w:line="300" w:lineRule="auto"/>
      <w:jc w:val="center"/>
      <w:outlineLvl w:val="0"/>
    </w:pPr>
    <w:rPr>
      <w:rFonts w:ascii="宋体" w:hAnsi="Times New Roman" w:cs="Times New Roman"/>
      <w:b/>
      <w:szCs w:val="20"/>
    </w:rPr>
  </w:style>
  <w:style w:type="paragraph" w:customStyle="1" w:styleId="33">
    <w:name w:val="列出段落1"/>
    <w:basedOn w:val="1"/>
    <w:qFormat/>
    <w:uiPriority w:val="99"/>
    <w:pPr>
      <w:ind w:firstLine="420" w:firstLineChars="200"/>
    </w:pPr>
  </w:style>
  <w:style w:type="paragraph" w:customStyle="1" w:styleId="34">
    <w:name w:val="修订3"/>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5">
    <w:name w:val="修订4"/>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36">
    <w:name w:val="正文文本 字符"/>
    <w:basedOn w:val="16"/>
    <w:link w:val="5"/>
    <w:semiHidden/>
    <w:qFormat/>
    <w:uiPriority w:val="99"/>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SMET</Company>
  <Pages>7</Pages>
  <Words>2560</Words>
  <Characters>2721</Characters>
  <Lines>27</Lines>
  <Paragraphs>7</Paragraphs>
  <TotalTime>6</TotalTime>
  <ScaleCrop>false</ScaleCrop>
  <LinksUpToDate>false</LinksUpToDate>
  <CharactersWithSpaces>2802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2026-05-11T01:57:00Z</dcterms:created>
  <dc:creator>linlin</dc:creator>
  <cp:lastModifiedBy>林琳</cp:lastModifiedBy>
  <cp:lastPrinted>2021-08-04T06:09:00Z</cp:lastPrinted>
  <dcterms:modified xsi:type="dcterms:W3CDTF">2026-07-17T09:37:25Z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9B90D09EC3F94F958BF3BDFF532CFE92_13</vt:lpwstr>
  </property>
  <property fmtid="{D5CDD505-2E9C-101B-9397-08002B2CF9AE}" pid="4" name="KSOTemplateDocerSaveRecord">
    <vt:lpwstr>eyJoZGlkIjoiZmMyYTJlZWEyYTYwNWI0M2FiY2YwY2Q2NDgxYzA3ZTMiLCJ1c2VySWQiOiIxNTcyMTY0ODY3In0=</vt:lpwstr>
  </property>
</Properties>
</file>